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AD61D">
      <w:pPr>
        <w:pStyle w:val="2"/>
        <w:rPr>
          <w:rFonts w:hint="eastAsia"/>
          <w:color w:val="auto"/>
          <w:sz w:val="28"/>
          <w:szCs w:val="28"/>
          <w:highlight w:val="none"/>
        </w:rPr>
      </w:pPr>
      <w:bookmarkStart w:id="0" w:name="_Toc37250767"/>
      <w:r>
        <w:rPr>
          <w:rFonts w:hint="eastAsia"/>
          <w:color w:val="auto"/>
          <w:sz w:val="28"/>
          <w:szCs w:val="28"/>
          <w:highlight w:val="none"/>
          <w:lang w:val="en-US" w:eastAsia="zh-CN"/>
        </w:rPr>
        <w:t>学校机房升级维护（一期）项目</w:t>
      </w:r>
      <w:r>
        <w:rPr>
          <w:rFonts w:hint="eastAsia"/>
          <w:color w:val="auto"/>
          <w:sz w:val="28"/>
          <w:szCs w:val="28"/>
          <w:highlight w:val="none"/>
        </w:rPr>
        <w:t>评审办法及评审标准</w:t>
      </w:r>
      <w:bookmarkEnd w:id="0"/>
    </w:p>
    <w:p w14:paraId="02039E4D">
      <w:pPr>
        <w:rPr>
          <w:rFonts w:hint="eastAsia"/>
          <w:lang w:eastAsia="zh-CN"/>
        </w:rPr>
      </w:pPr>
    </w:p>
    <w:p w14:paraId="3826F216">
      <w:pPr>
        <w:ind w:firstLine="482"/>
        <w:rPr>
          <w:rFonts w:hint="eastAsia"/>
          <w:b/>
          <w:bCs/>
          <w:color w:val="auto"/>
          <w:highlight w:val="none"/>
        </w:rPr>
      </w:pPr>
      <w:r>
        <w:rPr>
          <w:rFonts w:hint="eastAsia"/>
          <w:b/>
          <w:bCs/>
          <w:color w:val="auto"/>
          <w:highlight w:val="none"/>
        </w:rPr>
        <w:t>一、评审方法</w:t>
      </w:r>
    </w:p>
    <w:p w14:paraId="7A33D130">
      <w:pPr>
        <w:ind w:firstLine="482"/>
        <w:rPr>
          <w:rFonts w:hint="eastAsia"/>
          <w:color w:val="auto"/>
          <w:highlight w:val="none"/>
        </w:rPr>
      </w:pPr>
      <w:r>
        <w:rPr>
          <w:rFonts w:hint="eastAsia"/>
          <w:color w:val="auto"/>
          <w:highlight w:val="none"/>
        </w:rPr>
        <w:t>本</w:t>
      </w:r>
      <w:r>
        <w:rPr>
          <w:rFonts w:hint="eastAsia"/>
          <w:color w:val="auto"/>
          <w:highlight w:val="none"/>
          <w:lang w:val="en-US" w:eastAsia="zh-CN"/>
        </w:rPr>
        <w:t>项目</w:t>
      </w:r>
      <w:r>
        <w:rPr>
          <w:rFonts w:hint="eastAsia"/>
          <w:color w:val="auto"/>
          <w:highlight w:val="none"/>
        </w:rPr>
        <w:t>询价采用最低评标价法，资格审查、符合性审查全部通过且报价最低的供应商确定为成交供应商。</w:t>
      </w:r>
    </w:p>
    <w:p w14:paraId="0AAD7B29">
      <w:pPr>
        <w:ind w:firstLine="482"/>
        <w:rPr>
          <w:rFonts w:hint="eastAsia"/>
          <w:b/>
          <w:bCs/>
          <w:color w:val="auto"/>
          <w:highlight w:val="none"/>
        </w:rPr>
      </w:pPr>
    </w:p>
    <w:p w14:paraId="5F640EA1">
      <w:pPr>
        <w:ind w:firstLine="482"/>
        <w:rPr>
          <w:rFonts w:hint="eastAsia"/>
          <w:b/>
          <w:bCs/>
          <w:color w:val="auto"/>
          <w:highlight w:val="none"/>
        </w:rPr>
      </w:pPr>
      <w:r>
        <w:rPr>
          <w:rFonts w:hint="eastAsia"/>
          <w:b/>
          <w:bCs/>
          <w:color w:val="auto"/>
          <w:highlight w:val="none"/>
        </w:rPr>
        <w:t>二、评审流程</w:t>
      </w:r>
    </w:p>
    <w:p w14:paraId="1E991FA4">
      <w:pPr>
        <w:ind w:firstLine="482"/>
        <w:rPr>
          <w:rFonts w:hint="eastAsia"/>
          <w:color w:val="auto"/>
          <w:highlight w:val="none"/>
        </w:rPr>
      </w:pPr>
      <w:r>
        <w:rPr>
          <w:rFonts w:hint="eastAsia"/>
          <w:color w:val="auto"/>
          <w:highlight w:val="none"/>
        </w:rPr>
        <w:t>资格性审查：评审小组逐一核查各供应商投标文件，核对全部资格条款，任意一项不满足则投标无效，不再进入下一环节。</w:t>
      </w:r>
    </w:p>
    <w:p w14:paraId="0F1A096E">
      <w:pPr>
        <w:ind w:firstLine="482"/>
        <w:rPr>
          <w:rFonts w:hint="eastAsia"/>
          <w:color w:val="auto"/>
          <w:highlight w:val="none"/>
        </w:rPr>
      </w:pPr>
      <w:r>
        <w:rPr>
          <w:rFonts w:hint="eastAsia"/>
          <w:color w:val="auto"/>
          <w:highlight w:val="none"/>
        </w:rPr>
        <w:t>符合性审查：对通过资格审查的供应商开展符合性核查，存在实质性不满足情形的作无效投标处理。</w:t>
      </w:r>
    </w:p>
    <w:p w14:paraId="49C2CFE6">
      <w:pPr>
        <w:ind w:firstLine="482"/>
        <w:rPr>
          <w:rFonts w:hint="eastAsia"/>
          <w:color w:val="auto"/>
          <w:highlight w:val="none"/>
        </w:rPr>
      </w:pPr>
      <w:r>
        <w:rPr>
          <w:rFonts w:hint="eastAsia"/>
          <w:color w:val="auto"/>
          <w:highlight w:val="none"/>
        </w:rPr>
        <w:t>价格评审：仅对全部审查合格的供应商报价进行比对，在不超预算前提下，最低有效报价供应商为本项目成交供应商；若出现相同最低报价，由评审小组综合业绩、服务能力择优确定成交方。</w:t>
      </w:r>
    </w:p>
    <w:p w14:paraId="0F28F42B">
      <w:pPr>
        <w:ind w:firstLine="482"/>
        <w:rPr>
          <w:rFonts w:hint="eastAsia"/>
          <w:color w:val="auto"/>
          <w:highlight w:val="none"/>
        </w:rPr>
      </w:pPr>
      <w:r>
        <w:rPr>
          <w:rFonts w:hint="eastAsia"/>
          <w:color w:val="auto"/>
          <w:highlight w:val="none"/>
        </w:rPr>
        <w:t>异常低价处置：评审小组判定报价明显偏低、存在履约风险的，现场要求供应商提供书面成本说明及佐证材料，无法合理解释的，按无效投标处理。</w:t>
      </w:r>
    </w:p>
    <w:p w14:paraId="5DD8BA2A">
      <w:pPr>
        <w:ind w:firstLine="482"/>
        <w:rPr>
          <w:rFonts w:hint="eastAsia"/>
          <w:b/>
          <w:color w:val="auto"/>
          <w:highlight w:val="none"/>
          <w:lang w:val="en-US" w:eastAsia="zh-CN"/>
        </w:rPr>
      </w:pPr>
    </w:p>
    <w:p w14:paraId="27BEC91B">
      <w:pPr>
        <w:ind w:firstLine="482"/>
        <w:rPr>
          <w:rFonts w:hint="eastAsia"/>
          <w:b/>
          <w:color w:val="auto"/>
          <w:highlight w:val="none"/>
        </w:rPr>
      </w:pPr>
      <w:r>
        <w:rPr>
          <w:rFonts w:hint="eastAsia"/>
          <w:b/>
          <w:color w:val="auto"/>
          <w:highlight w:val="none"/>
          <w:lang w:val="en-US" w:eastAsia="zh-CN"/>
        </w:rPr>
        <w:t>三</w:t>
      </w:r>
      <w:r>
        <w:rPr>
          <w:rFonts w:hint="eastAsia"/>
          <w:b/>
          <w:color w:val="auto"/>
          <w:highlight w:val="none"/>
        </w:rPr>
        <w:t>、资格性和符合性审查表</w:t>
      </w:r>
    </w:p>
    <w:tbl>
      <w:tblPr>
        <w:tblStyle w:val="3"/>
        <w:tblW w:w="0" w:type="auto"/>
        <w:jc w:val="center"/>
        <w:tblLayout w:type="fixed"/>
        <w:tblCellMar>
          <w:top w:w="57" w:type="dxa"/>
          <w:left w:w="108" w:type="dxa"/>
          <w:bottom w:w="57" w:type="dxa"/>
          <w:right w:w="108" w:type="dxa"/>
        </w:tblCellMar>
      </w:tblPr>
      <w:tblGrid>
        <w:gridCol w:w="590"/>
        <w:gridCol w:w="7077"/>
        <w:gridCol w:w="1157"/>
      </w:tblGrid>
      <w:tr w14:paraId="4566CCDE">
        <w:tblPrEx>
          <w:tblCellMar>
            <w:top w:w="57" w:type="dxa"/>
            <w:left w:w="108" w:type="dxa"/>
            <w:bottom w:w="57" w:type="dxa"/>
            <w:right w:w="108" w:type="dxa"/>
          </w:tblCellMar>
        </w:tblPrEx>
        <w:trPr>
          <w:trHeight w:val="633" w:hRule="atLeast"/>
          <w:jc w:val="center"/>
        </w:trPr>
        <w:tc>
          <w:tcPr>
            <w:tcW w:w="590" w:type="dxa"/>
            <w:tcBorders>
              <w:top w:val="single" w:color="auto" w:sz="4" w:space="0"/>
              <w:left w:val="single" w:color="auto" w:sz="4" w:space="0"/>
              <w:bottom w:val="single" w:color="auto" w:sz="4" w:space="0"/>
              <w:right w:val="single" w:color="auto" w:sz="4" w:space="0"/>
            </w:tcBorders>
            <w:noWrap w:val="0"/>
            <w:vAlign w:val="center"/>
          </w:tcPr>
          <w:p w14:paraId="2327F071">
            <w:pPr>
              <w:pStyle w:val="5"/>
              <w:spacing w:line="276" w:lineRule="auto"/>
              <w:jc w:val="center"/>
              <w:rPr>
                <w:b/>
                <w:color w:val="auto"/>
                <w:highlight w:val="none"/>
              </w:rPr>
            </w:pPr>
            <w:r>
              <w:rPr>
                <w:rFonts w:hint="eastAsia"/>
                <w:b/>
                <w:color w:val="auto"/>
                <w:highlight w:val="none"/>
              </w:rPr>
              <w:t>序号</w:t>
            </w:r>
          </w:p>
        </w:tc>
        <w:tc>
          <w:tcPr>
            <w:tcW w:w="7077" w:type="dxa"/>
            <w:tcBorders>
              <w:top w:val="single" w:color="auto" w:sz="4" w:space="0"/>
              <w:left w:val="single" w:color="auto" w:sz="4" w:space="0"/>
              <w:bottom w:val="single" w:color="auto" w:sz="4" w:space="0"/>
              <w:right w:val="single" w:color="auto" w:sz="4" w:space="0"/>
            </w:tcBorders>
            <w:noWrap w:val="0"/>
            <w:vAlign w:val="center"/>
          </w:tcPr>
          <w:p w14:paraId="7E148A3C">
            <w:pPr>
              <w:pStyle w:val="5"/>
              <w:spacing w:line="276" w:lineRule="auto"/>
              <w:jc w:val="center"/>
              <w:rPr>
                <w:color w:val="auto"/>
                <w:highlight w:val="none"/>
              </w:rPr>
            </w:pPr>
            <w:r>
              <w:rPr>
                <w:rFonts w:hint="eastAsia"/>
                <w:b/>
                <w:color w:val="auto"/>
                <w:highlight w:val="none"/>
              </w:rPr>
              <w:t>资格性审查</w:t>
            </w:r>
            <w:r>
              <w:rPr>
                <w:b/>
                <w:color w:val="auto"/>
                <w:highlight w:val="none"/>
              </w:rPr>
              <w:t>内容</w:t>
            </w:r>
          </w:p>
        </w:tc>
        <w:tc>
          <w:tcPr>
            <w:tcW w:w="1157" w:type="dxa"/>
            <w:tcBorders>
              <w:top w:val="single" w:color="auto" w:sz="4" w:space="0"/>
              <w:left w:val="nil"/>
              <w:bottom w:val="single" w:color="auto" w:sz="4" w:space="0"/>
              <w:right w:val="single" w:color="auto" w:sz="4" w:space="0"/>
            </w:tcBorders>
            <w:noWrap w:val="0"/>
            <w:vAlign w:val="center"/>
          </w:tcPr>
          <w:p w14:paraId="738B48F7">
            <w:pPr>
              <w:pStyle w:val="5"/>
              <w:spacing w:line="276" w:lineRule="auto"/>
              <w:jc w:val="center"/>
              <w:rPr>
                <w:b/>
                <w:color w:val="auto"/>
                <w:highlight w:val="none"/>
              </w:rPr>
            </w:pPr>
            <w:r>
              <w:rPr>
                <w:rFonts w:hint="eastAsia"/>
                <w:b/>
                <w:color w:val="auto"/>
                <w:highlight w:val="none"/>
              </w:rPr>
              <w:t>供应商名称</w:t>
            </w:r>
          </w:p>
        </w:tc>
      </w:tr>
      <w:tr w14:paraId="1EBF9056">
        <w:tblPrEx>
          <w:tblCellMar>
            <w:top w:w="57" w:type="dxa"/>
            <w:left w:w="108" w:type="dxa"/>
            <w:bottom w:w="57" w:type="dxa"/>
            <w:right w:w="108" w:type="dxa"/>
          </w:tblCellMar>
        </w:tblPrEx>
        <w:trPr>
          <w:trHeight w:val="3001" w:hRule="atLeast"/>
          <w:jc w:val="center"/>
        </w:trPr>
        <w:tc>
          <w:tcPr>
            <w:tcW w:w="590" w:type="dxa"/>
            <w:tcBorders>
              <w:top w:val="single" w:color="auto" w:sz="4" w:space="0"/>
              <w:left w:val="single" w:color="auto" w:sz="4" w:space="0"/>
              <w:bottom w:val="single" w:color="auto" w:sz="4" w:space="0"/>
              <w:right w:val="single" w:color="auto" w:sz="4" w:space="0"/>
            </w:tcBorders>
            <w:noWrap w:val="0"/>
            <w:vAlign w:val="center"/>
          </w:tcPr>
          <w:p w14:paraId="22287155">
            <w:pPr>
              <w:spacing w:line="276" w:lineRule="auto"/>
              <w:ind w:firstLine="0"/>
              <w:jc w:val="center"/>
              <w:rPr>
                <w:color w:val="auto"/>
                <w:highlight w:val="none"/>
              </w:rPr>
            </w:pPr>
            <w:r>
              <w:rPr>
                <w:rFonts w:hint="eastAsia"/>
                <w:color w:val="auto"/>
                <w:highlight w:val="none"/>
              </w:rPr>
              <w:t>1</w:t>
            </w:r>
          </w:p>
        </w:tc>
        <w:tc>
          <w:tcPr>
            <w:tcW w:w="7077" w:type="dxa"/>
            <w:tcBorders>
              <w:top w:val="single" w:color="auto" w:sz="4" w:space="0"/>
              <w:left w:val="single" w:color="auto" w:sz="4" w:space="0"/>
              <w:bottom w:val="single" w:color="auto" w:sz="4" w:space="0"/>
              <w:right w:val="single" w:color="auto" w:sz="4" w:space="0"/>
            </w:tcBorders>
            <w:noWrap w:val="0"/>
            <w:vAlign w:val="top"/>
          </w:tcPr>
          <w:p w14:paraId="62EC731C">
            <w:pPr>
              <w:spacing w:line="288" w:lineRule="auto"/>
              <w:ind w:firstLine="0"/>
              <w:rPr>
                <w:color w:val="auto"/>
                <w:highlight w:val="none"/>
              </w:rPr>
            </w:pPr>
            <w:r>
              <w:rPr>
                <w:rFonts w:hint="eastAsia"/>
                <w:color w:val="auto"/>
                <w:highlight w:val="none"/>
              </w:rPr>
              <w:t>（</w:t>
            </w:r>
            <w:r>
              <w:rPr>
                <w:color w:val="auto"/>
                <w:highlight w:val="none"/>
              </w:rPr>
              <w:t>1）具有独立承担民事责任的能力；</w:t>
            </w:r>
          </w:p>
          <w:p w14:paraId="04380120">
            <w:pPr>
              <w:spacing w:line="288" w:lineRule="auto"/>
              <w:ind w:firstLine="0"/>
              <w:rPr>
                <w:color w:val="auto"/>
                <w:highlight w:val="none"/>
              </w:rPr>
            </w:pPr>
            <w:r>
              <w:rPr>
                <w:rFonts w:hint="eastAsia"/>
                <w:color w:val="auto"/>
                <w:highlight w:val="none"/>
              </w:rPr>
              <w:t>（</w:t>
            </w:r>
            <w:r>
              <w:rPr>
                <w:color w:val="auto"/>
                <w:highlight w:val="none"/>
              </w:rPr>
              <w:t>2）具有良好的商业信誉和健全的财务会计制度；</w:t>
            </w:r>
          </w:p>
          <w:p w14:paraId="5F85749C">
            <w:pPr>
              <w:spacing w:line="288" w:lineRule="auto"/>
              <w:ind w:firstLine="0"/>
              <w:rPr>
                <w:color w:val="auto"/>
                <w:highlight w:val="none"/>
              </w:rPr>
            </w:pPr>
            <w:r>
              <w:rPr>
                <w:rFonts w:hint="eastAsia"/>
                <w:color w:val="auto"/>
                <w:highlight w:val="none"/>
              </w:rPr>
              <w:t>（</w:t>
            </w:r>
            <w:r>
              <w:rPr>
                <w:color w:val="auto"/>
                <w:highlight w:val="none"/>
              </w:rPr>
              <w:t>3）具有履行合同所必需的设备和专业技术能力；</w:t>
            </w:r>
          </w:p>
          <w:p w14:paraId="141FCC86">
            <w:pPr>
              <w:spacing w:line="288" w:lineRule="auto"/>
              <w:ind w:firstLine="0"/>
              <w:rPr>
                <w:color w:val="auto"/>
                <w:highlight w:val="none"/>
              </w:rPr>
            </w:pPr>
            <w:r>
              <w:rPr>
                <w:rFonts w:hint="eastAsia"/>
                <w:color w:val="auto"/>
                <w:highlight w:val="none"/>
              </w:rPr>
              <w:t>（</w:t>
            </w:r>
            <w:r>
              <w:rPr>
                <w:color w:val="auto"/>
                <w:highlight w:val="none"/>
              </w:rPr>
              <w:t>4）有依法缴纳税收和社会保障资金的良好记录；</w:t>
            </w:r>
          </w:p>
          <w:p w14:paraId="696A10B7">
            <w:pPr>
              <w:spacing w:line="288" w:lineRule="auto"/>
              <w:ind w:firstLine="0"/>
              <w:rPr>
                <w:color w:val="auto"/>
                <w:highlight w:val="none"/>
              </w:rPr>
            </w:pPr>
            <w:r>
              <w:rPr>
                <w:rFonts w:hint="eastAsia"/>
                <w:color w:val="auto"/>
                <w:highlight w:val="none"/>
              </w:rPr>
              <w:t>（</w:t>
            </w:r>
            <w:r>
              <w:rPr>
                <w:color w:val="auto"/>
                <w:highlight w:val="none"/>
              </w:rPr>
              <w:t>5）参加采购活动前三年内，在经营活动中没有重大违法记录；</w:t>
            </w:r>
          </w:p>
          <w:p w14:paraId="7C635441">
            <w:pPr>
              <w:spacing w:line="288" w:lineRule="auto"/>
              <w:ind w:firstLine="0"/>
              <w:rPr>
                <w:color w:val="auto"/>
                <w:highlight w:val="none"/>
              </w:rPr>
            </w:pPr>
            <w:r>
              <w:rPr>
                <w:rFonts w:hint="eastAsia"/>
                <w:color w:val="auto"/>
                <w:highlight w:val="none"/>
              </w:rPr>
              <w:t>（</w:t>
            </w:r>
            <w:r>
              <w:rPr>
                <w:color w:val="auto"/>
                <w:highlight w:val="none"/>
              </w:rPr>
              <w:t>6）法律、行政法规规定的其他条件。</w:t>
            </w:r>
          </w:p>
          <w:p w14:paraId="6594FFE6">
            <w:pPr>
              <w:spacing w:line="288" w:lineRule="auto"/>
              <w:ind w:firstLine="0"/>
              <w:rPr>
                <w:b/>
                <w:color w:val="auto"/>
                <w:highlight w:val="none"/>
              </w:rPr>
            </w:pPr>
            <w:r>
              <w:rPr>
                <w:rFonts w:hint="eastAsia"/>
                <w:b/>
                <w:color w:val="auto"/>
                <w:highlight w:val="none"/>
              </w:rPr>
              <w:t>（其中第（</w:t>
            </w:r>
            <w:r>
              <w:rPr>
                <w:b/>
                <w:color w:val="auto"/>
                <w:highlight w:val="none"/>
              </w:rPr>
              <w:t>1）款提供有效的法人营业执照、税务登记证、组织机构代码证（或三证合一）；（2）至（6）款提供相关证明或承诺）</w:t>
            </w:r>
          </w:p>
        </w:tc>
        <w:tc>
          <w:tcPr>
            <w:tcW w:w="1157" w:type="dxa"/>
            <w:tcBorders>
              <w:top w:val="single" w:color="auto" w:sz="4" w:space="0"/>
              <w:left w:val="nil"/>
              <w:bottom w:val="single" w:color="auto" w:sz="4" w:space="0"/>
              <w:right w:val="single" w:color="auto" w:sz="4" w:space="0"/>
            </w:tcBorders>
            <w:noWrap w:val="0"/>
            <w:vAlign w:val="center"/>
          </w:tcPr>
          <w:p w14:paraId="483663C9">
            <w:pPr>
              <w:pStyle w:val="5"/>
              <w:spacing w:line="276" w:lineRule="auto"/>
              <w:jc w:val="center"/>
              <w:rPr>
                <w:rFonts w:hint="eastAsia"/>
                <w:color w:val="auto"/>
                <w:highlight w:val="none"/>
              </w:rPr>
            </w:pPr>
          </w:p>
        </w:tc>
      </w:tr>
      <w:tr w14:paraId="375A1D8A">
        <w:tblPrEx>
          <w:tblCellMar>
            <w:top w:w="57" w:type="dxa"/>
            <w:left w:w="108" w:type="dxa"/>
            <w:bottom w:w="57" w:type="dxa"/>
            <w:right w:w="108" w:type="dxa"/>
          </w:tblCellMar>
        </w:tblPrEx>
        <w:trPr>
          <w:trHeight w:val="2519" w:hRule="atLeast"/>
          <w:jc w:val="center"/>
        </w:trPr>
        <w:tc>
          <w:tcPr>
            <w:tcW w:w="590" w:type="dxa"/>
            <w:tcBorders>
              <w:top w:val="single" w:color="auto" w:sz="4" w:space="0"/>
              <w:left w:val="single" w:color="auto" w:sz="4" w:space="0"/>
              <w:bottom w:val="single" w:color="auto" w:sz="4" w:space="0"/>
              <w:right w:val="single" w:color="auto" w:sz="4" w:space="0"/>
            </w:tcBorders>
            <w:noWrap w:val="0"/>
            <w:vAlign w:val="center"/>
          </w:tcPr>
          <w:p w14:paraId="52DB842E">
            <w:pPr>
              <w:spacing w:line="276" w:lineRule="auto"/>
              <w:ind w:firstLine="0"/>
              <w:jc w:val="center"/>
              <w:rPr>
                <w:color w:val="auto"/>
                <w:highlight w:val="none"/>
              </w:rPr>
            </w:pPr>
            <w:r>
              <w:rPr>
                <w:rFonts w:hint="eastAsia"/>
                <w:color w:val="auto"/>
                <w:highlight w:val="none"/>
              </w:rPr>
              <w:t>2</w:t>
            </w:r>
          </w:p>
        </w:tc>
        <w:tc>
          <w:tcPr>
            <w:tcW w:w="7077" w:type="dxa"/>
            <w:tcBorders>
              <w:top w:val="single" w:color="auto" w:sz="4" w:space="0"/>
              <w:left w:val="single" w:color="auto" w:sz="4" w:space="0"/>
              <w:bottom w:val="single" w:color="auto" w:sz="4" w:space="0"/>
              <w:right w:val="single" w:color="auto" w:sz="4" w:space="0"/>
            </w:tcBorders>
            <w:noWrap w:val="0"/>
            <w:vAlign w:val="top"/>
          </w:tcPr>
          <w:p w14:paraId="7C925D11">
            <w:pPr>
              <w:spacing w:line="288" w:lineRule="auto"/>
              <w:ind w:firstLine="0"/>
              <w:rPr>
                <w:rFonts w:hint="eastAsia"/>
                <w:color w:val="auto"/>
                <w:highlight w:val="none"/>
              </w:rPr>
            </w:pPr>
            <w:r>
              <w:rPr>
                <w:color w:val="auto"/>
                <w:highlight w:val="none"/>
              </w:rPr>
              <w:t>未被列入失信被执行人、重大税收违法</w:t>
            </w:r>
            <w:r>
              <w:rPr>
                <w:rFonts w:hint="eastAsia"/>
                <w:color w:val="auto"/>
                <w:highlight w:val="none"/>
              </w:rPr>
              <w:t>失信主体、</w:t>
            </w:r>
            <w:r>
              <w:rPr>
                <w:color w:val="auto"/>
                <w:highlight w:val="none"/>
              </w:rPr>
              <w:t>政府采购严重违法失信行为记录名单</w:t>
            </w:r>
            <w:r>
              <w:rPr>
                <w:rFonts w:hint="eastAsia"/>
                <w:color w:val="auto"/>
                <w:highlight w:val="none"/>
              </w:rPr>
              <w:t>。</w:t>
            </w:r>
          </w:p>
          <w:p w14:paraId="316A5E6E">
            <w:pPr>
              <w:spacing w:line="288" w:lineRule="auto"/>
              <w:ind w:firstLine="0"/>
              <w:rPr>
                <w:b/>
                <w:color w:val="auto"/>
                <w:highlight w:val="none"/>
              </w:rPr>
            </w:pPr>
            <w:r>
              <w:rPr>
                <w:rFonts w:hint="eastAsia"/>
                <w:b/>
                <w:color w:val="auto"/>
                <w:highlight w:val="none"/>
              </w:rPr>
              <w:t>（提供查询截图。</w:t>
            </w:r>
            <w:r>
              <w:rPr>
                <w:rFonts w:hint="eastAsia"/>
                <w:color w:val="auto"/>
                <w:highlight w:val="none"/>
                <w:lang w:val="en-US" w:eastAsia="zh-CN"/>
              </w:rPr>
              <w:t>评审</w:t>
            </w:r>
            <w:r>
              <w:rPr>
                <w:rFonts w:hint="eastAsia"/>
                <w:color w:val="auto"/>
                <w:highlight w:val="none"/>
              </w:rPr>
              <w:t>小组以</w:t>
            </w:r>
            <w:r>
              <w:rPr>
                <w:rFonts w:hint="eastAsia"/>
                <w:color w:val="auto"/>
                <w:highlight w:val="none"/>
                <w:lang w:val="en-US" w:eastAsia="zh-CN"/>
              </w:rPr>
              <w:t>评审</w:t>
            </w:r>
            <w:r>
              <w:rPr>
                <w:rFonts w:hint="eastAsia"/>
                <w:color w:val="auto"/>
                <w:highlight w:val="none"/>
              </w:rPr>
              <w:t>当天查询结果为准，查询网站：《中国执行信息公开网》网站（</w:t>
            </w:r>
            <w:r>
              <w:rPr>
                <w:color w:val="auto"/>
                <w:highlight w:val="none"/>
              </w:rPr>
              <w:t>zxgk.court.gov.cn）上的</w:t>
            </w:r>
            <w:r>
              <w:rPr>
                <w:rFonts w:hint="eastAsia"/>
                <w:color w:val="auto"/>
                <w:highlight w:val="none"/>
              </w:rPr>
              <w:t>失信被执行人、《信用中国》网站</w:t>
            </w:r>
            <w:r>
              <w:rPr>
                <w:color w:val="auto"/>
                <w:highlight w:val="none"/>
              </w:rPr>
              <w:t>(www.creditchina.gov.cn)</w:t>
            </w:r>
            <w:r>
              <w:rPr>
                <w:rFonts w:hint="eastAsia"/>
                <w:color w:val="auto"/>
                <w:highlight w:val="none"/>
              </w:rPr>
              <w:t xml:space="preserve"> </w:t>
            </w:r>
            <w:r>
              <w:rPr>
                <w:color w:val="auto"/>
                <w:highlight w:val="none"/>
              </w:rPr>
              <w:t>重大税收违法</w:t>
            </w:r>
            <w:r>
              <w:rPr>
                <w:rFonts w:hint="eastAsia"/>
                <w:color w:val="auto"/>
                <w:highlight w:val="none"/>
              </w:rPr>
              <w:t>失信主体、《中国政府采购网》（</w:t>
            </w:r>
            <w:r>
              <w:rPr>
                <w:color w:val="auto"/>
                <w:highlight w:val="none"/>
              </w:rPr>
              <w:t>www.ccgp.gov.cn</w:t>
            </w:r>
            <w:r>
              <w:rPr>
                <w:rFonts w:hint="eastAsia"/>
                <w:color w:val="auto"/>
                <w:highlight w:val="none"/>
              </w:rPr>
              <w:t>）政府采购严重违法失信行为记录）</w:t>
            </w:r>
          </w:p>
        </w:tc>
        <w:tc>
          <w:tcPr>
            <w:tcW w:w="1157" w:type="dxa"/>
            <w:tcBorders>
              <w:top w:val="single" w:color="auto" w:sz="4" w:space="0"/>
              <w:left w:val="nil"/>
              <w:bottom w:val="single" w:color="auto" w:sz="4" w:space="0"/>
              <w:right w:val="single" w:color="auto" w:sz="4" w:space="0"/>
            </w:tcBorders>
            <w:noWrap w:val="0"/>
            <w:vAlign w:val="center"/>
          </w:tcPr>
          <w:p w14:paraId="12D874B4">
            <w:pPr>
              <w:pStyle w:val="5"/>
              <w:spacing w:line="276" w:lineRule="auto"/>
              <w:jc w:val="center"/>
              <w:rPr>
                <w:rFonts w:hint="eastAsia"/>
                <w:color w:val="auto"/>
                <w:highlight w:val="none"/>
              </w:rPr>
            </w:pPr>
          </w:p>
        </w:tc>
      </w:tr>
      <w:tr w14:paraId="148D6CA2">
        <w:tblPrEx>
          <w:tblCellMar>
            <w:top w:w="57" w:type="dxa"/>
            <w:left w:w="108" w:type="dxa"/>
            <w:bottom w:w="57" w:type="dxa"/>
            <w:right w:w="108" w:type="dxa"/>
          </w:tblCellMar>
        </w:tblPrEx>
        <w:trPr>
          <w:trHeight w:val="340" w:hRule="atLeast"/>
          <w:jc w:val="center"/>
        </w:trPr>
        <w:tc>
          <w:tcPr>
            <w:tcW w:w="590" w:type="dxa"/>
            <w:tcBorders>
              <w:top w:val="single" w:color="auto" w:sz="4" w:space="0"/>
              <w:left w:val="single" w:color="auto" w:sz="4" w:space="0"/>
              <w:bottom w:val="single" w:color="auto" w:sz="4" w:space="0"/>
              <w:right w:val="single" w:color="auto" w:sz="4" w:space="0"/>
            </w:tcBorders>
            <w:noWrap w:val="0"/>
            <w:vAlign w:val="center"/>
          </w:tcPr>
          <w:p w14:paraId="52F7781F">
            <w:pPr>
              <w:spacing w:line="276" w:lineRule="auto"/>
              <w:ind w:firstLine="0"/>
              <w:jc w:val="center"/>
              <w:rPr>
                <w:rFonts w:hint="eastAsia"/>
                <w:color w:val="auto"/>
                <w:highlight w:val="none"/>
              </w:rPr>
            </w:pPr>
            <w:r>
              <w:rPr>
                <w:rFonts w:hint="eastAsia"/>
                <w:color w:val="auto"/>
                <w:highlight w:val="none"/>
              </w:rPr>
              <w:t>3</w:t>
            </w:r>
          </w:p>
        </w:tc>
        <w:tc>
          <w:tcPr>
            <w:tcW w:w="7077" w:type="dxa"/>
            <w:tcBorders>
              <w:top w:val="single" w:color="auto" w:sz="4" w:space="0"/>
              <w:left w:val="single" w:color="auto" w:sz="4" w:space="0"/>
              <w:bottom w:val="single" w:color="auto" w:sz="4" w:space="0"/>
              <w:right w:val="single" w:color="auto" w:sz="4" w:space="0"/>
            </w:tcBorders>
            <w:noWrap w:val="0"/>
            <w:vAlign w:val="center"/>
          </w:tcPr>
          <w:p w14:paraId="02ADFAD2">
            <w:pPr>
              <w:ind w:left="0" w:leftChars="0" w:firstLine="0" w:firstLineChars="0"/>
              <w:rPr>
                <w:rFonts w:hint="eastAsia"/>
                <w:color w:val="auto"/>
                <w:highlight w:val="none"/>
              </w:rPr>
            </w:pPr>
            <w:r>
              <w:rPr>
                <w:rFonts w:hint="eastAsia"/>
                <w:color w:val="auto"/>
                <w:highlight w:val="none"/>
              </w:rPr>
              <w:t>本项目的特定资格要求：</w:t>
            </w:r>
          </w:p>
          <w:p w14:paraId="6E641997">
            <w:pPr>
              <w:ind w:firstLine="480"/>
              <w:rPr>
                <w:rFonts w:hint="eastAsia"/>
                <w:color w:val="auto"/>
                <w:highlight w:val="none"/>
              </w:rPr>
            </w:pPr>
            <w:r>
              <w:rPr>
                <w:rFonts w:hint="eastAsia"/>
                <w:color w:val="auto"/>
                <w:highlight w:val="none"/>
              </w:rPr>
              <w:t>（</w:t>
            </w:r>
            <w:r>
              <w:rPr>
                <w:color w:val="auto"/>
                <w:highlight w:val="none"/>
              </w:rPr>
              <w:t>1</w:t>
            </w:r>
            <w:r>
              <w:rPr>
                <w:rFonts w:hint="eastAsia"/>
                <w:color w:val="auto"/>
                <w:highlight w:val="none"/>
              </w:rPr>
              <w:t>）投标单位需提供包括但不限于由市级及以上信息技术类学会等机构认定的信息技术服务能力、质量服务能力、售后服务能力等证明材料，以及</w:t>
            </w:r>
            <w:r>
              <w:rPr>
                <w:rFonts w:hint="eastAsia"/>
                <w:color w:val="auto"/>
                <w:highlight w:val="none"/>
                <w:lang w:val="en-US" w:eastAsia="zh-CN"/>
              </w:rPr>
              <w:t>项目负责人员</w:t>
            </w:r>
            <w:r>
              <w:rPr>
                <w:rFonts w:hint="eastAsia"/>
                <w:color w:val="auto"/>
                <w:highlight w:val="none"/>
              </w:rPr>
              <w:t>信息技术相关中级及以上技能等级证书（提供相关证件</w:t>
            </w:r>
            <w:r>
              <w:rPr>
                <w:rFonts w:hint="eastAsia"/>
                <w:color w:val="auto"/>
                <w:highlight w:val="none"/>
                <w:lang w:val="en-US" w:eastAsia="zh-CN"/>
              </w:rPr>
              <w:t>材料</w:t>
            </w:r>
            <w:r>
              <w:rPr>
                <w:rFonts w:hint="eastAsia"/>
                <w:color w:val="auto"/>
                <w:highlight w:val="none"/>
              </w:rPr>
              <w:t>及</w:t>
            </w:r>
            <w:r>
              <w:rPr>
                <w:rFonts w:hint="eastAsia"/>
                <w:color w:val="auto"/>
                <w:highlight w:val="none"/>
                <w:lang w:val="en-US" w:eastAsia="zh-CN"/>
              </w:rPr>
              <w:t>项目负责人</w:t>
            </w:r>
            <w:r>
              <w:rPr>
                <w:rFonts w:hint="eastAsia"/>
                <w:color w:val="auto"/>
                <w:highlight w:val="none"/>
              </w:rPr>
              <w:t>社保缴纳证明</w:t>
            </w:r>
            <w:r>
              <w:rPr>
                <w:rFonts w:hint="eastAsia"/>
                <w:color w:val="auto"/>
                <w:highlight w:val="none"/>
                <w:lang w:eastAsia="zh-CN"/>
              </w:rPr>
              <w:t>，</w:t>
            </w:r>
            <w:r>
              <w:rPr>
                <w:rFonts w:hint="eastAsia"/>
                <w:color w:val="auto"/>
                <w:highlight w:val="none"/>
              </w:rPr>
              <w:t>缴纳单位必须为本单位）</w:t>
            </w:r>
          </w:p>
          <w:p w14:paraId="34AD17F1">
            <w:pPr>
              <w:ind w:firstLine="480"/>
              <w:rPr>
                <w:rFonts w:hint="eastAsia"/>
                <w:color w:val="auto"/>
                <w:highlight w:val="none"/>
              </w:rPr>
            </w:pPr>
            <w:r>
              <w:rPr>
                <w:rFonts w:hint="eastAsia"/>
                <w:color w:val="auto"/>
                <w:highlight w:val="none"/>
              </w:rPr>
              <w:t>（</w:t>
            </w:r>
            <w:r>
              <w:rPr>
                <w:rFonts w:hint="eastAsia"/>
                <w:color w:val="auto"/>
                <w:highlight w:val="none"/>
                <w:lang w:val="en-US" w:eastAsia="zh-CN"/>
              </w:rPr>
              <w:t>2</w:t>
            </w:r>
            <w:r>
              <w:rPr>
                <w:rFonts w:hint="eastAsia"/>
                <w:color w:val="auto"/>
                <w:highlight w:val="none"/>
              </w:rPr>
              <w:t>）</w:t>
            </w:r>
            <w:r>
              <w:rPr>
                <w:rFonts w:hint="eastAsia"/>
                <w:color w:val="auto"/>
                <w:highlight w:val="none"/>
                <w:lang w:val="en-US" w:eastAsia="zh-CN"/>
              </w:rPr>
              <w:t>供应商近3年（2023年至今）承接过类似业绩。（提供合同复印件等相关证明</w:t>
            </w:r>
            <w:r>
              <w:rPr>
                <w:rFonts w:hint="eastAsia"/>
                <w:color w:val="auto"/>
                <w:highlight w:val="none"/>
              </w:rPr>
              <w:t>材料，业绩须能有效证明时间</w:t>
            </w:r>
            <w:r>
              <w:rPr>
                <w:rFonts w:hint="eastAsia"/>
                <w:color w:val="auto"/>
                <w:highlight w:val="none"/>
                <w:lang w:eastAsia="zh-CN"/>
              </w:rPr>
              <w:t>、</w:t>
            </w:r>
            <w:r>
              <w:rPr>
                <w:rFonts w:hint="eastAsia"/>
                <w:color w:val="auto"/>
                <w:highlight w:val="none"/>
              </w:rPr>
              <w:t>项目类型与规模）</w:t>
            </w:r>
          </w:p>
          <w:p w14:paraId="62AAF504">
            <w:pPr>
              <w:ind w:firstLine="480"/>
              <w:rPr>
                <w:b/>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）本项目是否接受联合体：否</w:t>
            </w:r>
          </w:p>
        </w:tc>
        <w:tc>
          <w:tcPr>
            <w:tcW w:w="1157" w:type="dxa"/>
            <w:tcBorders>
              <w:top w:val="single" w:color="auto" w:sz="4" w:space="0"/>
              <w:left w:val="nil"/>
              <w:bottom w:val="single" w:color="auto" w:sz="4" w:space="0"/>
              <w:right w:val="single" w:color="auto" w:sz="4" w:space="0"/>
            </w:tcBorders>
            <w:noWrap w:val="0"/>
            <w:vAlign w:val="center"/>
          </w:tcPr>
          <w:p w14:paraId="79B5D91B">
            <w:pPr>
              <w:pStyle w:val="5"/>
              <w:spacing w:line="276" w:lineRule="auto"/>
              <w:jc w:val="center"/>
              <w:rPr>
                <w:rFonts w:hint="eastAsia"/>
                <w:color w:val="auto"/>
                <w:highlight w:val="none"/>
              </w:rPr>
            </w:pPr>
          </w:p>
        </w:tc>
      </w:tr>
      <w:tr w14:paraId="594CF927">
        <w:tblPrEx>
          <w:tblCellMar>
            <w:top w:w="57" w:type="dxa"/>
            <w:left w:w="108" w:type="dxa"/>
            <w:bottom w:w="57" w:type="dxa"/>
            <w:right w:w="108" w:type="dxa"/>
          </w:tblCellMar>
        </w:tblPrEx>
        <w:trPr>
          <w:trHeight w:val="340" w:hRule="atLeast"/>
          <w:jc w:val="center"/>
        </w:trPr>
        <w:tc>
          <w:tcPr>
            <w:tcW w:w="590" w:type="dxa"/>
            <w:tcBorders>
              <w:top w:val="single" w:color="auto" w:sz="4" w:space="0"/>
              <w:left w:val="single" w:color="auto" w:sz="4" w:space="0"/>
              <w:bottom w:val="single" w:color="auto" w:sz="4" w:space="0"/>
              <w:right w:val="single" w:color="auto" w:sz="4" w:space="0"/>
            </w:tcBorders>
            <w:noWrap w:val="0"/>
            <w:vAlign w:val="center"/>
          </w:tcPr>
          <w:p w14:paraId="2BB2BB9F">
            <w:pPr>
              <w:spacing w:line="276" w:lineRule="auto"/>
              <w:ind w:firstLine="0"/>
              <w:jc w:val="center"/>
              <w:rPr>
                <w:rFonts w:hint="eastAsia"/>
                <w:b/>
                <w:color w:val="auto"/>
                <w:highlight w:val="none"/>
              </w:rPr>
            </w:pPr>
            <w:r>
              <w:rPr>
                <w:rFonts w:hint="eastAsia"/>
                <w:b/>
                <w:color w:val="auto"/>
                <w:highlight w:val="none"/>
              </w:rPr>
              <w:t>序号</w:t>
            </w:r>
          </w:p>
        </w:tc>
        <w:tc>
          <w:tcPr>
            <w:tcW w:w="7077" w:type="dxa"/>
            <w:tcBorders>
              <w:top w:val="single" w:color="auto" w:sz="4" w:space="0"/>
              <w:left w:val="single" w:color="auto" w:sz="4" w:space="0"/>
              <w:bottom w:val="single" w:color="auto" w:sz="4" w:space="0"/>
              <w:right w:val="single" w:color="auto" w:sz="4" w:space="0"/>
            </w:tcBorders>
            <w:noWrap w:val="0"/>
            <w:vAlign w:val="center"/>
          </w:tcPr>
          <w:p w14:paraId="724587FE">
            <w:pPr>
              <w:pStyle w:val="5"/>
              <w:spacing w:line="276" w:lineRule="auto"/>
              <w:jc w:val="center"/>
              <w:rPr>
                <w:color w:val="auto"/>
                <w:highlight w:val="none"/>
              </w:rPr>
            </w:pPr>
            <w:r>
              <w:rPr>
                <w:rFonts w:hint="eastAsia"/>
                <w:b/>
                <w:color w:val="auto"/>
                <w:highlight w:val="none"/>
              </w:rPr>
              <w:t>符合性审查内容</w:t>
            </w:r>
          </w:p>
        </w:tc>
        <w:tc>
          <w:tcPr>
            <w:tcW w:w="1157" w:type="dxa"/>
            <w:tcBorders>
              <w:top w:val="single" w:color="auto" w:sz="4" w:space="0"/>
              <w:left w:val="nil"/>
              <w:bottom w:val="single" w:color="auto" w:sz="4" w:space="0"/>
              <w:right w:val="single" w:color="auto" w:sz="4" w:space="0"/>
            </w:tcBorders>
            <w:noWrap w:val="0"/>
            <w:vAlign w:val="center"/>
          </w:tcPr>
          <w:p w14:paraId="243435CA">
            <w:pPr>
              <w:pStyle w:val="5"/>
              <w:spacing w:line="276" w:lineRule="auto"/>
              <w:jc w:val="center"/>
              <w:rPr>
                <w:rFonts w:hint="eastAsia"/>
                <w:b/>
                <w:color w:val="auto"/>
                <w:highlight w:val="none"/>
              </w:rPr>
            </w:pPr>
          </w:p>
        </w:tc>
      </w:tr>
      <w:tr w14:paraId="20722B87">
        <w:tblPrEx>
          <w:tblCellMar>
            <w:top w:w="57" w:type="dxa"/>
            <w:left w:w="108" w:type="dxa"/>
            <w:bottom w:w="57" w:type="dxa"/>
            <w:right w:w="108" w:type="dxa"/>
          </w:tblCellMar>
        </w:tblPrEx>
        <w:trPr>
          <w:trHeight w:val="340" w:hRule="atLeast"/>
          <w:jc w:val="center"/>
        </w:trPr>
        <w:tc>
          <w:tcPr>
            <w:tcW w:w="590" w:type="dxa"/>
            <w:tcBorders>
              <w:top w:val="nil"/>
              <w:left w:val="single" w:color="auto" w:sz="4" w:space="0"/>
              <w:bottom w:val="single" w:color="auto" w:sz="4" w:space="0"/>
              <w:right w:val="single" w:color="auto" w:sz="4" w:space="0"/>
            </w:tcBorders>
            <w:noWrap w:val="0"/>
            <w:vAlign w:val="center"/>
          </w:tcPr>
          <w:p w14:paraId="200EA768">
            <w:pPr>
              <w:pStyle w:val="5"/>
              <w:spacing w:line="276" w:lineRule="auto"/>
              <w:jc w:val="center"/>
              <w:rPr>
                <w:rFonts w:hint="eastAsia"/>
                <w:color w:val="auto"/>
                <w:highlight w:val="none"/>
              </w:rPr>
            </w:pPr>
            <w:r>
              <w:rPr>
                <w:rFonts w:hint="eastAsia"/>
                <w:color w:val="auto"/>
                <w:highlight w:val="none"/>
              </w:rPr>
              <w:t>1</w:t>
            </w:r>
          </w:p>
        </w:tc>
        <w:tc>
          <w:tcPr>
            <w:tcW w:w="7077" w:type="dxa"/>
            <w:tcBorders>
              <w:top w:val="nil"/>
              <w:left w:val="nil"/>
              <w:bottom w:val="single" w:color="auto" w:sz="4" w:space="0"/>
              <w:right w:val="single" w:color="auto" w:sz="4" w:space="0"/>
            </w:tcBorders>
            <w:noWrap w:val="0"/>
            <w:vAlign w:val="center"/>
          </w:tcPr>
          <w:p w14:paraId="37080657">
            <w:pPr>
              <w:pStyle w:val="5"/>
              <w:spacing w:line="276" w:lineRule="auto"/>
              <w:rPr>
                <w:rFonts w:hint="eastAsia"/>
                <w:color w:val="auto"/>
                <w:highlight w:val="none"/>
              </w:rPr>
            </w:pPr>
            <w:r>
              <w:rPr>
                <w:rFonts w:hint="eastAsia"/>
                <w:color w:val="auto"/>
                <w:highlight w:val="none"/>
              </w:rPr>
              <w:t>响应文件按照采购文件要求密封、签署、盖章。</w:t>
            </w:r>
          </w:p>
        </w:tc>
        <w:tc>
          <w:tcPr>
            <w:tcW w:w="1157" w:type="dxa"/>
            <w:tcBorders>
              <w:top w:val="nil"/>
              <w:left w:val="nil"/>
              <w:bottom w:val="single" w:color="auto" w:sz="4" w:space="0"/>
              <w:right w:val="single" w:color="auto" w:sz="4" w:space="0"/>
            </w:tcBorders>
            <w:noWrap w:val="0"/>
            <w:vAlign w:val="center"/>
          </w:tcPr>
          <w:p w14:paraId="129248DD">
            <w:pPr>
              <w:pStyle w:val="5"/>
              <w:spacing w:line="276" w:lineRule="auto"/>
              <w:jc w:val="center"/>
              <w:rPr>
                <w:color w:val="auto"/>
                <w:highlight w:val="none"/>
              </w:rPr>
            </w:pPr>
          </w:p>
        </w:tc>
      </w:tr>
      <w:tr w14:paraId="1BFBC091">
        <w:tblPrEx>
          <w:tblCellMar>
            <w:top w:w="57" w:type="dxa"/>
            <w:left w:w="108" w:type="dxa"/>
            <w:bottom w:w="57" w:type="dxa"/>
            <w:right w:w="108" w:type="dxa"/>
          </w:tblCellMar>
        </w:tblPrEx>
        <w:trPr>
          <w:trHeight w:val="340" w:hRule="atLeast"/>
          <w:jc w:val="center"/>
        </w:trPr>
        <w:tc>
          <w:tcPr>
            <w:tcW w:w="590" w:type="dxa"/>
            <w:tcBorders>
              <w:top w:val="single" w:color="auto" w:sz="4" w:space="0"/>
              <w:left w:val="single" w:color="auto" w:sz="4" w:space="0"/>
              <w:bottom w:val="single" w:color="auto" w:sz="4" w:space="0"/>
              <w:right w:val="single" w:color="auto" w:sz="4" w:space="0"/>
            </w:tcBorders>
            <w:noWrap w:val="0"/>
            <w:vAlign w:val="center"/>
          </w:tcPr>
          <w:p w14:paraId="2ABD91C4">
            <w:pPr>
              <w:pStyle w:val="5"/>
              <w:spacing w:line="276" w:lineRule="auto"/>
              <w:jc w:val="center"/>
              <w:rPr>
                <w:rFonts w:hint="eastAsia"/>
                <w:color w:val="auto"/>
                <w:highlight w:val="none"/>
              </w:rPr>
            </w:pPr>
            <w:r>
              <w:rPr>
                <w:rFonts w:hint="eastAsia"/>
                <w:color w:val="auto"/>
                <w:highlight w:val="none"/>
              </w:rPr>
              <w:t>2</w:t>
            </w:r>
          </w:p>
        </w:tc>
        <w:tc>
          <w:tcPr>
            <w:tcW w:w="7077" w:type="dxa"/>
            <w:tcBorders>
              <w:top w:val="single" w:color="auto" w:sz="4" w:space="0"/>
              <w:left w:val="nil"/>
              <w:bottom w:val="single" w:color="auto" w:sz="4" w:space="0"/>
              <w:right w:val="single" w:color="auto" w:sz="4" w:space="0"/>
            </w:tcBorders>
            <w:noWrap w:val="0"/>
            <w:vAlign w:val="center"/>
          </w:tcPr>
          <w:p w14:paraId="004AD122">
            <w:pPr>
              <w:pStyle w:val="5"/>
              <w:spacing w:line="276" w:lineRule="auto"/>
              <w:rPr>
                <w:rFonts w:hint="eastAsia"/>
                <w:color w:val="auto"/>
                <w:highlight w:val="none"/>
              </w:rPr>
            </w:pPr>
            <w:r>
              <w:rPr>
                <w:rFonts w:hint="eastAsia"/>
                <w:color w:val="auto"/>
                <w:highlight w:val="none"/>
              </w:rPr>
              <w:t>企业法定代表人有合法有效的证明文件及其身份证原件</w:t>
            </w:r>
            <w:r>
              <w:rPr>
                <w:rFonts w:hint="eastAsia"/>
                <w:color w:val="auto"/>
                <w:highlight w:val="none"/>
                <w:lang w:val="en-US" w:eastAsia="zh-CN"/>
              </w:rPr>
              <w:t>复印件</w:t>
            </w:r>
            <w:r>
              <w:rPr>
                <w:rFonts w:hint="eastAsia"/>
                <w:color w:val="auto"/>
                <w:highlight w:val="none"/>
              </w:rPr>
              <w:t>或委托代理人有合法有效的委托书及其身份证原件</w:t>
            </w:r>
            <w:r>
              <w:rPr>
                <w:rFonts w:hint="eastAsia"/>
                <w:color w:val="auto"/>
                <w:highlight w:val="none"/>
                <w:lang w:val="en-US" w:eastAsia="zh-CN"/>
              </w:rPr>
              <w:t>复印件</w:t>
            </w:r>
            <w:r>
              <w:rPr>
                <w:rFonts w:hint="eastAsia"/>
                <w:color w:val="auto"/>
                <w:highlight w:val="none"/>
              </w:rPr>
              <w:t>。</w:t>
            </w:r>
          </w:p>
        </w:tc>
        <w:tc>
          <w:tcPr>
            <w:tcW w:w="1157" w:type="dxa"/>
            <w:tcBorders>
              <w:top w:val="nil"/>
              <w:left w:val="nil"/>
              <w:bottom w:val="single" w:color="auto" w:sz="4" w:space="0"/>
              <w:right w:val="single" w:color="auto" w:sz="4" w:space="0"/>
            </w:tcBorders>
            <w:noWrap w:val="0"/>
            <w:vAlign w:val="center"/>
          </w:tcPr>
          <w:p w14:paraId="6ED44372">
            <w:pPr>
              <w:pStyle w:val="5"/>
              <w:spacing w:line="276" w:lineRule="auto"/>
              <w:jc w:val="center"/>
              <w:rPr>
                <w:color w:val="auto"/>
                <w:highlight w:val="none"/>
              </w:rPr>
            </w:pPr>
          </w:p>
        </w:tc>
      </w:tr>
      <w:tr w14:paraId="07D54F32">
        <w:tblPrEx>
          <w:tblCellMar>
            <w:top w:w="57" w:type="dxa"/>
            <w:left w:w="108" w:type="dxa"/>
            <w:bottom w:w="57" w:type="dxa"/>
            <w:right w:w="108" w:type="dxa"/>
          </w:tblCellMar>
        </w:tblPrEx>
        <w:trPr>
          <w:trHeight w:val="340" w:hRule="atLeast"/>
          <w:jc w:val="center"/>
        </w:trPr>
        <w:tc>
          <w:tcPr>
            <w:tcW w:w="590" w:type="dxa"/>
            <w:tcBorders>
              <w:top w:val="single" w:color="auto" w:sz="4" w:space="0"/>
              <w:left w:val="single" w:color="auto" w:sz="4" w:space="0"/>
              <w:bottom w:val="single" w:color="auto" w:sz="4" w:space="0"/>
              <w:right w:val="single" w:color="auto" w:sz="4" w:space="0"/>
            </w:tcBorders>
            <w:noWrap w:val="0"/>
            <w:vAlign w:val="center"/>
          </w:tcPr>
          <w:p w14:paraId="31C02DD4">
            <w:pPr>
              <w:pStyle w:val="5"/>
              <w:spacing w:line="276" w:lineRule="auto"/>
              <w:jc w:val="center"/>
              <w:rPr>
                <w:rFonts w:hint="eastAsia"/>
                <w:color w:val="auto"/>
                <w:highlight w:val="none"/>
              </w:rPr>
            </w:pPr>
            <w:r>
              <w:rPr>
                <w:rFonts w:hint="eastAsia"/>
                <w:color w:val="auto"/>
                <w:highlight w:val="none"/>
              </w:rPr>
              <w:t>3</w:t>
            </w:r>
          </w:p>
        </w:tc>
        <w:tc>
          <w:tcPr>
            <w:tcW w:w="7077" w:type="dxa"/>
            <w:tcBorders>
              <w:top w:val="single" w:color="auto" w:sz="4" w:space="0"/>
              <w:left w:val="nil"/>
              <w:bottom w:val="single" w:color="auto" w:sz="4" w:space="0"/>
              <w:right w:val="single" w:color="auto" w:sz="4" w:space="0"/>
            </w:tcBorders>
            <w:noWrap w:val="0"/>
            <w:vAlign w:val="center"/>
          </w:tcPr>
          <w:p w14:paraId="5727C9DD">
            <w:pPr>
              <w:pStyle w:val="5"/>
              <w:spacing w:line="276" w:lineRule="auto"/>
              <w:rPr>
                <w:rFonts w:hint="eastAsia"/>
                <w:color w:val="auto"/>
                <w:highlight w:val="none"/>
              </w:rPr>
            </w:pPr>
            <w:r>
              <w:rPr>
                <w:rFonts w:hint="eastAsia"/>
                <w:color w:val="auto"/>
                <w:highlight w:val="none"/>
              </w:rPr>
              <w:t>按照采购文件要求进行报价，报价未超过项目预算金额及项目最高限价。</w:t>
            </w:r>
          </w:p>
        </w:tc>
        <w:tc>
          <w:tcPr>
            <w:tcW w:w="1157" w:type="dxa"/>
            <w:tcBorders>
              <w:top w:val="nil"/>
              <w:left w:val="nil"/>
              <w:bottom w:val="single" w:color="auto" w:sz="4" w:space="0"/>
              <w:right w:val="single" w:color="auto" w:sz="4" w:space="0"/>
            </w:tcBorders>
            <w:noWrap w:val="0"/>
            <w:vAlign w:val="center"/>
          </w:tcPr>
          <w:p w14:paraId="2745618F">
            <w:pPr>
              <w:pStyle w:val="5"/>
              <w:spacing w:line="276" w:lineRule="auto"/>
              <w:jc w:val="center"/>
              <w:rPr>
                <w:color w:val="auto"/>
                <w:highlight w:val="none"/>
              </w:rPr>
            </w:pPr>
          </w:p>
        </w:tc>
      </w:tr>
      <w:tr w14:paraId="4C5A00B5">
        <w:tblPrEx>
          <w:tblCellMar>
            <w:top w:w="57" w:type="dxa"/>
            <w:left w:w="108" w:type="dxa"/>
            <w:bottom w:w="57" w:type="dxa"/>
            <w:right w:w="108" w:type="dxa"/>
          </w:tblCellMar>
        </w:tblPrEx>
        <w:trPr>
          <w:trHeight w:val="340" w:hRule="atLeast"/>
          <w:jc w:val="center"/>
        </w:trPr>
        <w:tc>
          <w:tcPr>
            <w:tcW w:w="590" w:type="dxa"/>
            <w:tcBorders>
              <w:top w:val="single" w:color="auto" w:sz="4" w:space="0"/>
              <w:left w:val="single" w:color="auto" w:sz="4" w:space="0"/>
              <w:bottom w:val="single" w:color="auto" w:sz="4" w:space="0"/>
              <w:right w:val="single" w:color="auto" w:sz="4" w:space="0"/>
            </w:tcBorders>
            <w:noWrap w:val="0"/>
            <w:vAlign w:val="center"/>
          </w:tcPr>
          <w:p w14:paraId="0FC51266">
            <w:pPr>
              <w:pStyle w:val="5"/>
              <w:spacing w:line="276" w:lineRule="auto"/>
              <w:jc w:val="center"/>
              <w:rPr>
                <w:rFonts w:hint="eastAsia"/>
                <w:color w:val="auto"/>
                <w:highlight w:val="none"/>
              </w:rPr>
            </w:pPr>
            <w:r>
              <w:rPr>
                <w:rFonts w:hint="eastAsia"/>
                <w:color w:val="auto"/>
                <w:highlight w:val="none"/>
              </w:rPr>
              <w:t>4</w:t>
            </w:r>
          </w:p>
        </w:tc>
        <w:tc>
          <w:tcPr>
            <w:tcW w:w="7077" w:type="dxa"/>
            <w:tcBorders>
              <w:top w:val="single" w:color="auto" w:sz="4" w:space="0"/>
              <w:left w:val="nil"/>
              <w:bottom w:val="single" w:color="auto" w:sz="4" w:space="0"/>
              <w:right w:val="single" w:color="auto" w:sz="4" w:space="0"/>
            </w:tcBorders>
            <w:noWrap w:val="0"/>
            <w:vAlign w:val="center"/>
          </w:tcPr>
          <w:p w14:paraId="6A293286">
            <w:pPr>
              <w:pStyle w:val="5"/>
              <w:spacing w:line="276" w:lineRule="auto"/>
              <w:rPr>
                <w:rFonts w:hint="eastAsia"/>
                <w:color w:val="auto"/>
                <w:highlight w:val="none"/>
              </w:rPr>
            </w:pPr>
            <w:r>
              <w:rPr>
                <w:rFonts w:hint="eastAsia"/>
                <w:color w:val="auto"/>
                <w:highlight w:val="none"/>
              </w:rPr>
              <w:t>响应文件有效期满足采购文件要求。</w:t>
            </w:r>
          </w:p>
        </w:tc>
        <w:tc>
          <w:tcPr>
            <w:tcW w:w="1157" w:type="dxa"/>
            <w:tcBorders>
              <w:top w:val="nil"/>
              <w:left w:val="nil"/>
              <w:bottom w:val="single" w:color="auto" w:sz="4" w:space="0"/>
              <w:right w:val="single" w:color="auto" w:sz="4" w:space="0"/>
            </w:tcBorders>
            <w:noWrap w:val="0"/>
            <w:vAlign w:val="center"/>
          </w:tcPr>
          <w:p w14:paraId="149DF90E">
            <w:pPr>
              <w:pStyle w:val="5"/>
              <w:spacing w:line="276" w:lineRule="auto"/>
              <w:jc w:val="center"/>
              <w:rPr>
                <w:color w:val="auto"/>
                <w:highlight w:val="none"/>
              </w:rPr>
            </w:pPr>
          </w:p>
        </w:tc>
      </w:tr>
      <w:tr w14:paraId="0634EE34">
        <w:tblPrEx>
          <w:tblCellMar>
            <w:top w:w="57" w:type="dxa"/>
            <w:left w:w="108" w:type="dxa"/>
            <w:bottom w:w="57" w:type="dxa"/>
            <w:right w:w="108" w:type="dxa"/>
          </w:tblCellMar>
        </w:tblPrEx>
        <w:trPr>
          <w:trHeight w:val="340" w:hRule="atLeast"/>
          <w:jc w:val="center"/>
        </w:trPr>
        <w:tc>
          <w:tcPr>
            <w:tcW w:w="590" w:type="dxa"/>
            <w:tcBorders>
              <w:top w:val="single" w:color="auto" w:sz="4" w:space="0"/>
              <w:left w:val="single" w:color="auto" w:sz="4" w:space="0"/>
              <w:bottom w:val="single" w:color="auto" w:sz="4" w:space="0"/>
              <w:right w:val="single" w:color="auto" w:sz="4" w:space="0"/>
            </w:tcBorders>
            <w:noWrap w:val="0"/>
            <w:vAlign w:val="center"/>
          </w:tcPr>
          <w:p w14:paraId="37615A71">
            <w:pPr>
              <w:pStyle w:val="5"/>
              <w:spacing w:line="276" w:lineRule="auto"/>
              <w:jc w:val="center"/>
              <w:rPr>
                <w:rFonts w:hint="eastAsia"/>
                <w:color w:val="auto"/>
                <w:highlight w:val="none"/>
              </w:rPr>
            </w:pPr>
            <w:r>
              <w:rPr>
                <w:rFonts w:hint="eastAsia"/>
                <w:color w:val="auto"/>
                <w:highlight w:val="none"/>
              </w:rPr>
              <w:t>5</w:t>
            </w:r>
          </w:p>
        </w:tc>
        <w:tc>
          <w:tcPr>
            <w:tcW w:w="7077" w:type="dxa"/>
            <w:tcBorders>
              <w:top w:val="single" w:color="auto" w:sz="4" w:space="0"/>
              <w:left w:val="nil"/>
              <w:bottom w:val="single" w:color="auto" w:sz="4" w:space="0"/>
              <w:right w:val="single" w:color="auto" w:sz="4" w:space="0"/>
            </w:tcBorders>
            <w:noWrap w:val="0"/>
            <w:vAlign w:val="center"/>
          </w:tcPr>
          <w:p w14:paraId="1F1C258D">
            <w:pPr>
              <w:pStyle w:val="5"/>
              <w:spacing w:line="276" w:lineRule="auto"/>
              <w:rPr>
                <w:rFonts w:hint="eastAsia"/>
                <w:color w:val="auto"/>
                <w:highlight w:val="none"/>
              </w:rPr>
            </w:pPr>
            <w:r>
              <w:rPr>
                <w:rFonts w:hint="eastAsia"/>
                <w:color w:val="auto"/>
                <w:highlight w:val="none"/>
              </w:rPr>
              <w:t>响应文件关于合同履行期限的响应符合采购文件要求。</w:t>
            </w:r>
          </w:p>
        </w:tc>
        <w:tc>
          <w:tcPr>
            <w:tcW w:w="1157" w:type="dxa"/>
            <w:tcBorders>
              <w:top w:val="nil"/>
              <w:left w:val="nil"/>
              <w:bottom w:val="single" w:color="auto" w:sz="4" w:space="0"/>
              <w:right w:val="single" w:color="auto" w:sz="4" w:space="0"/>
            </w:tcBorders>
            <w:noWrap w:val="0"/>
            <w:vAlign w:val="center"/>
          </w:tcPr>
          <w:p w14:paraId="421DE2AF">
            <w:pPr>
              <w:pStyle w:val="5"/>
              <w:spacing w:line="276" w:lineRule="auto"/>
              <w:jc w:val="center"/>
              <w:rPr>
                <w:color w:val="auto"/>
                <w:highlight w:val="none"/>
              </w:rPr>
            </w:pPr>
          </w:p>
        </w:tc>
      </w:tr>
      <w:tr w14:paraId="2CA29F36">
        <w:tblPrEx>
          <w:tblCellMar>
            <w:top w:w="57" w:type="dxa"/>
            <w:left w:w="108" w:type="dxa"/>
            <w:bottom w:w="57" w:type="dxa"/>
            <w:right w:w="108" w:type="dxa"/>
          </w:tblCellMar>
        </w:tblPrEx>
        <w:trPr>
          <w:trHeight w:val="340" w:hRule="atLeast"/>
          <w:jc w:val="center"/>
        </w:trPr>
        <w:tc>
          <w:tcPr>
            <w:tcW w:w="590" w:type="dxa"/>
            <w:tcBorders>
              <w:top w:val="single" w:color="auto" w:sz="4" w:space="0"/>
              <w:left w:val="single" w:color="auto" w:sz="4" w:space="0"/>
              <w:bottom w:val="single" w:color="auto" w:sz="4" w:space="0"/>
              <w:right w:val="single" w:color="auto" w:sz="4" w:space="0"/>
            </w:tcBorders>
            <w:noWrap w:val="0"/>
            <w:vAlign w:val="center"/>
          </w:tcPr>
          <w:p w14:paraId="5CA0AEE6">
            <w:pPr>
              <w:pStyle w:val="5"/>
              <w:spacing w:line="276" w:lineRule="auto"/>
              <w:jc w:val="center"/>
              <w:rPr>
                <w:rFonts w:hint="eastAsia"/>
                <w:color w:val="auto"/>
                <w:highlight w:val="none"/>
              </w:rPr>
            </w:pPr>
            <w:r>
              <w:rPr>
                <w:rFonts w:hint="eastAsia"/>
                <w:color w:val="auto"/>
                <w:highlight w:val="none"/>
              </w:rPr>
              <w:t>6</w:t>
            </w:r>
          </w:p>
        </w:tc>
        <w:tc>
          <w:tcPr>
            <w:tcW w:w="7077" w:type="dxa"/>
            <w:tcBorders>
              <w:top w:val="single" w:color="auto" w:sz="4" w:space="0"/>
              <w:left w:val="nil"/>
              <w:bottom w:val="single" w:color="auto" w:sz="4" w:space="0"/>
              <w:right w:val="single" w:color="auto" w:sz="4" w:space="0"/>
            </w:tcBorders>
            <w:noWrap w:val="0"/>
            <w:vAlign w:val="center"/>
          </w:tcPr>
          <w:p w14:paraId="02CD5E39">
            <w:pPr>
              <w:pStyle w:val="5"/>
              <w:spacing w:line="276" w:lineRule="auto"/>
              <w:rPr>
                <w:rFonts w:hint="eastAsia"/>
                <w:color w:val="auto"/>
                <w:highlight w:val="none"/>
              </w:rPr>
            </w:pPr>
            <w:r>
              <w:rPr>
                <w:rFonts w:hint="eastAsia"/>
                <w:color w:val="auto"/>
                <w:highlight w:val="none"/>
              </w:rPr>
              <w:t>按采购公告规定获取的采购文件。</w:t>
            </w:r>
          </w:p>
        </w:tc>
        <w:tc>
          <w:tcPr>
            <w:tcW w:w="1157" w:type="dxa"/>
            <w:tcBorders>
              <w:top w:val="nil"/>
              <w:left w:val="nil"/>
              <w:bottom w:val="single" w:color="auto" w:sz="4" w:space="0"/>
              <w:right w:val="single" w:color="auto" w:sz="4" w:space="0"/>
            </w:tcBorders>
            <w:noWrap w:val="0"/>
            <w:vAlign w:val="center"/>
          </w:tcPr>
          <w:p w14:paraId="7073EE9B">
            <w:pPr>
              <w:pStyle w:val="5"/>
              <w:spacing w:line="276" w:lineRule="auto"/>
              <w:jc w:val="center"/>
              <w:rPr>
                <w:color w:val="auto"/>
                <w:highlight w:val="none"/>
              </w:rPr>
            </w:pPr>
          </w:p>
        </w:tc>
      </w:tr>
      <w:tr w14:paraId="39F40FE4">
        <w:tblPrEx>
          <w:tblCellMar>
            <w:top w:w="57" w:type="dxa"/>
            <w:left w:w="108" w:type="dxa"/>
            <w:bottom w:w="57" w:type="dxa"/>
            <w:right w:w="108" w:type="dxa"/>
          </w:tblCellMar>
        </w:tblPrEx>
        <w:trPr>
          <w:trHeight w:val="340" w:hRule="atLeast"/>
          <w:jc w:val="center"/>
        </w:trPr>
        <w:tc>
          <w:tcPr>
            <w:tcW w:w="590" w:type="dxa"/>
            <w:tcBorders>
              <w:top w:val="single" w:color="auto" w:sz="4" w:space="0"/>
              <w:left w:val="single" w:color="auto" w:sz="4" w:space="0"/>
              <w:bottom w:val="single" w:color="auto" w:sz="4" w:space="0"/>
              <w:right w:val="single" w:color="auto" w:sz="4" w:space="0"/>
            </w:tcBorders>
            <w:noWrap w:val="0"/>
            <w:vAlign w:val="center"/>
          </w:tcPr>
          <w:p w14:paraId="318BEFBE">
            <w:pPr>
              <w:pStyle w:val="5"/>
              <w:spacing w:line="276" w:lineRule="auto"/>
              <w:jc w:val="center"/>
              <w:rPr>
                <w:rFonts w:hint="eastAsia"/>
                <w:color w:val="auto"/>
                <w:highlight w:val="none"/>
              </w:rPr>
            </w:pPr>
            <w:r>
              <w:rPr>
                <w:rFonts w:hint="eastAsia"/>
                <w:color w:val="auto"/>
                <w:highlight w:val="none"/>
              </w:rPr>
              <w:t>7</w:t>
            </w:r>
          </w:p>
        </w:tc>
        <w:tc>
          <w:tcPr>
            <w:tcW w:w="7077" w:type="dxa"/>
            <w:tcBorders>
              <w:top w:val="single" w:color="auto" w:sz="4" w:space="0"/>
              <w:left w:val="nil"/>
              <w:bottom w:val="single" w:color="auto" w:sz="4" w:space="0"/>
              <w:right w:val="single" w:color="auto" w:sz="4" w:space="0"/>
            </w:tcBorders>
            <w:noWrap w:val="0"/>
            <w:vAlign w:val="center"/>
          </w:tcPr>
          <w:p w14:paraId="5CF8084F">
            <w:pPr>
              <w:pStyle w:val="5"/>
              <w:spacing w:line="276" w:lineRule="auto"/>
              <w:rPr>
                <w:rFonts w:hint="eastAsia"/>
                <w:color w:val="auto"/>
                <w:highlight w:val="none"/>
              </w:rPr>
            </w:pPr>
            <w:r>
              <w:rPr>
                <w:rFonts w:hint="eastAsia"/>
                <w:color w:val="auto"/>
                <w:highlight w:val="none"/>
              </w:rPr>
              <w:t>响应文件未附有采购人不能接受的条件。</w:t>
            </w:r>
          </w:p>
        </w:tc>
        <w:tc>
          <w:tcPr>
            <w:tcW w:w="1157" w:type="dxa"/>
            <w:tcBorders>
              <w:top w:val="nil"/>
              <w:left w:val="nil"/>
              <w:bottom w:val="single" w:color="auto" w:sz="4" w:space="0"/>
              <w:right w:val="single" w:color="auto" w:sz="4" w:space="0"/>
            </w:tcBorders>
            <w:noWrap w:val="0"/>
            <w:vAlign w:val="center"/>
          </w:tcPr>
          <w:p w14:paraId="56A51AD1">
            <w:pPr>
              <w:pStyle w:val="5"/>
              <w:spacing w:line="276" w:lineRule="auto"/>
              <w:jc w:val="center"/>
              <w:rPr>
                <w:color w:val="auto"/>
                <w:highlight w:val="none"/>
              </w:rPr>
            </w:pPr>
          </w:p>
        </w:tc>
      </w:tr>
      <w:tr w14:paraId="2883A405">
        <w:tblPrEx>
          <w:tblCellMar>
            <w:top w:w="57" w:type="dxa"/>
            <w:left w:w="108" w:type="dxa"/>
            <w:bottom w:w="57" w:type="dxa"/>
            <w:right w:w="108" w:type="dxa"/>
          </w:tblCellMar>
        </w:tblPrEx>
        <w:trPr>
          <w:trHeight w:val="340" w:hRule="atLeast"/>
          <w:jc w:val="center"/>
        </w:trPr>
        <w:tc>
          <w:tcPr>
            <w:tcW w:w="590" w:type="dxa"/>
            <w:tcBorders>
              <w:top w:val="single" w:color="auto" w:sz="4" w:space="0"/>
              <w:left w:val="single" w:color="auto" w:sz="4" w:space="0"/>
              <w:bottom w:val="single" w:color="auto" w:sz="4" w:space="0"/>
              <w:right w:val="single" w:color="auto" w:sz="4" w:space="0"/>
            </w:tcBorders>
            <w:noWrap w:val="0"/>
            <w:vAlign w:val="center"/>
          </w:tcPr>
          <w:p w14:paraId="3D5EE665">
            <w:pPr>
              <w:pStyle w:val="5"/>
              <w:spacing w:line="276" w:lineRule="auto"/>
              <w:jc w:val="center"/>
              <w:rPr>
                <w:rFonts w:hint="eastAsia"/>
                <w:color w:val="auto"/>
                <w:highlight w:val="none"/>
              </w:rPr>
            </w:pPr>
            <w:r>
              <w:rPr>
                <w:rFonts w:hint="eastAsia"/>
                <w:color w:val="auto"/>
                <w:highlight w:val="none"/>
              </w:rPr>
              <w:t>8</w:t>
            </w:r>
          </w:p>
        </w:tc>
        <w:tc>
          <w:tcPr>
            <w:tcW w:w="7077" w:type="dxa"/>
            <w:tcBorders>
              <w:top w:val="single" w:color="auto" w:sz="4" w:space="0"/>
              <w:left w:val="nil"/>
              <w:bottom w:val="single" w:color="auto" w:sz="4" w:space="0"/>
              <w:right w:val="single" w:color="auto" w:sz="4" w:space="0"/>
            </w:tcBorders>
            <w:noWrap w:val="0"/>
            <w:vAlign w:val="center"/>
          </w:tcPr>
          <w:p w14:paraId="146338AC">
            <w:pPr>
              <w:pStyle w:val="5"/>
              <w:spacing w:line="276" w:lineRule="auto"/>
              <w:rPr>
                <w:rFonts w:hint="eastAsia"/>
                <w:color w:val="auto"/>
                <w:highlight w:val="none"/>
              </w:rPr>
            </w:pPr>
            <w:r>
              <w:rPr>
                <w:rFonts w:hint="eastAsia"/>
                <w:color w:val="auto"/>
                <w:highlight w:val="none"/>
              </w:rPr>
              <w:t>采购文件规定的其他实质性要求。</w:t>
            </w:r>
          </w:p>
        </w:tc>
        <w:tc>
          <w:tcPr>
            <w:tcW w:w="1157" w:type="dxa"/>
            <w:tcBorders>
              <w:top w:val="nil"/>
              <w:left w:val="nil"/>
              <w:bottom w:val="single" w:color="auto" w:sz="4" w:space="0"/>
              <w:right w:val="single" w:color="auto" w:sz="4" w:space="0"/>
            </w:tcBorders>
            <w:noWrap w:val="0"/>
            <w:vAlign w:val="center"/>
          </w:tcPr>
          <w:p w14:paraId="55A93F09">
            <w:pPr>
              <w:pStyle w:val="5"/>
              <w:spacing w:line="276" w:lineRule="auto"/>
              <w:jc w:val="center"/>
              <w:rPr>
                <w:color w:val="auto"/>
                <w:highlight w:val="none"/>
              </w:rPr>
            </w:pPr>
          </w:p>
        </w:tc>
      </w:tr>
      <w:tr w14:paraId="22B4B6C1">
        <w:tblPrEx>
          <w:tblCellMar>
            <w:top w:w="57" w:type="dxa"/>
            <w:left w:w="108" w:type="dxa"/>
            <w:bottom w:w="57" w:type="dxa"/>
            <w:right w:w="108" w:type="dxa"/>
          </w:tblCellMar>
        </w:tblPrEx>
        <w:trPr>
          <w:trHeight w:val="90" w:hRule="atLeast"/>
          <w:jc w:val="center"/>
        </w:trPr>
        <w:tc>
          <w:tcPr>
            <w:tcW w:w="7667" w:type="dxa"/>
            <w:gridSpan w:val="2"/>
            <w:tcBorders>
              <w:top w:val="single" w:color="auto" w:sz="4" w:space="0"/>
              <w:left w:val="single" w:color="auto" w:sz="4" w:space="0"/>
              <w:bottom w:val="single" w:color="auto" w:sz="4" w:space="0"/>
              <w:right w:val="single" w:color="auto" w:sz="4" w:space="0"/>
            </w:tcBorders>
            <w:noWrap w:val="0"/>
            <w:vAlign w:val="center"/>
          </w:tcPr>
          <w:p w14:paraId="73CF3C7E">
            <w:pPr>
              <w:pStyle w:val="5"/>
              <w:spacing w:line="276" w:lineRule="auto"/>
              <w:jc w:val="center"/>
              <w:rPr>
                <w:b/>
                <w:color w:val="auto"/>
                <w:highlight w:val="none"/>
              </w:rPr>
            </w:pPr>
            <w:r>
              <w:rPr>
                <w:rFonts w:hint="eastAsia"/>
                <w:b/>
                <w:color w:val="auto"/>
                <w:highlight w:val="none"/>
              </w:rPr>
              <w:t>审核结论</w:t>
            </w:r>
          </w:p>
        </w:tc>
        <w:tc>
          <w:tcPr>
            <w:tcW w:w="1157" w:type="dxa"/>
            <w:tcBorders>
              <w:top w:val="single" w:color="auto" w:sz="4" w:space="0"/>
              <w:left w:val="nil"/>
              <w:bottom w:val="single" w:color="auto" w:sz="4" w:space="0"/>
              <w:right w:val="single" w:color="auto" w:sz="4" w:space="0"/>
            </w:tcBorders>
            <w:noWrap w:val="0"/>
            <w:vAlign w:val="center"/>
          </w:tcPr>
          <w:p w14:paraId="695957C8">
            <w:pPr>
              <w:pStyle w:val="5"/>
              <w:spacing w:line="276" w:lineRule="auto"/>
              <w:jc w:val="center"/>
              <w:rPr>
                <w:color w:val="auto"/>
                <w:highlight w:val="none"/>
              </w:rPr>
            </w:pPr>
          </w:p>
        </w:tc>
      </w:tr>
    </w:tbl>
    <w:p w14:paraId="18820D2B">
      <w:pPr>
        <w:ind w:firstLine="480"/>
        <w:rPr>
          <w:rFonts w:hint="eastAsia"/>
          <w:color w:val="auto"/>
          <w:highlight w:val="none"/>
        </w:rPr>
      </w:pPr>
      <w:r>
        <w:rPr>
          <w:rFonts w:hint="eastAsia"/>
          <w:color w:val="auto"/>
          <w:highlight w:val="none"/>
        </w:rPr>
        <w:t xml:space="preserve">说明： </w:t>
      </w:r>
    </w:p>
    <w:p w14:paraId="57600E78">
      <w:pPr>
        <w:ind w:firstLine="480"/>
        <w:rPr>
          <w:rFonts w:hint="eastAsia"/>
          <w:color w:val="auto"/>
          <w:highlight w:val="none"/>
        </w:rPr>
      </w:pPr>
      <w:r>
        <w:rPr>
          <w:rFonts w:hint="eastAsia"/>
          <w:color w:val="auto"/>
          <w:highlight w:val="none"/>
        </w:rPr>
        <w:t>1、</w:t>
      </w:r>
      <w:r>
        <w:rPr>
          <w:rFonts w:hint="eastAsia"/>
          <w:color w:val="auto"/>
          <w:highlight w:val="none"/>
          <w:lang w:val="en-US" w:eastAsia="zh-CN"/>
        </w:rPr>
        <w:t>评审</w:t>
      </w:r>
      <w:r>
        <w:rPr>
          <w:rFonts w:hint="eastAsia"/>
          <w:color w:val="auto"/>
          <w:highlight w:val="none"/>
        </w:rPr>
        <w:t>小组分别对每一响应文件依据上表进行检查。</w:t>
      </w:r>
    </w:p>
    <w:p w14:paraId="7F6A2C30">
      <w:pPr>
        <w:ind w:firstLine="480"/>
        <w:rPr>
          <w:rFonts w:hint="eastAsia"/>
          <w:color w:val="auto"/>
          <w:highlight w:val="none"/>
        </w:rPr>
      </w:pPr>
      <w:r>
        <w:rPr>
          <w:rFonts w:hint="eastAsia"/>
          <w:color w:val="auto"/>
          <w:highlight w:val="none"/>
        </w:rPr>
        <w:t>2、满足要求的条款打“√”，否则为“×”。</w:t>
      </w:r>
    </w:p>
    <w:p w14:paraId="0494904C">
      <w:pPr>
        <w:ind w:firstLine="482"/>
        <w:rPr>
          <w:rFonts w:hint="eastAsia"/>
          <w:b/>
          <w:bCs/>
          <w:color w:val="auto"/>
          <w:highlight w:val="none"/>
        </w:rPr>
      </w:pPr>
      <w:r>
        <w:rPr>
          <w:rFonts w:hint="eastAsia"/>
          <w:b/>
          <w:bCs/>
          <w:color w:val="auto"/>
          <w:highlight w:val="none"/>
        </w:rPr>
        <w:t>3、响应文件中有任意一条不满足上表要求的将导致其响应无效，不进入下一项评审。</w:t>
      </w:r>
    </w:p>
    <w:p w14:paraId="1DAD4E25">
      <w:pPr>
        <w:ind w:firstLine="482"/>
        <w:rPr>
          <w:rFonts w:hint="eastAsia"/>
          <w:b/>
          <w:bCs/>
          <w:color w:val="auto"/>
          <w:highlight w:val="none"/>
          <w:lang w:val="en-US" w:eastAsia="zh-CN"/>
        </w:rPr>
      </w:pPr>
    </w:p>
    <w:p w14:paraId="41A4ACBA">
      <w:pPr>
        <w:ind w:firstLine="482"/>
        <w:rPr>
          <w:rFonts w:hint="default" w:eastAsia="仿宋"/>
          <w:b/>
          <w:bCs/>
          <w:color w:val="auto"/>
          <w:highlight w:val="none"/>
          <w:lang w:val="en-US" w:eastAsia="zh-CN"/>
        </w:rPr>
      </w:pPr>
      <w:r>
        <w:rPr>
          <w:rFonts w:hint="eastAsia"/>
          <w:b/>
          <w:bCs/>
          <w:color w:val="auto"/>
          <w:highlight w:val="none"/>
          <w:lang w:val="en-US" w:eastAsia="zh-CN"/>
        </w:rPr>
        <w:t>四、</w:t>
      </w:r>
      <w:r>
        <w:rPr>
          <w:rFonts w:hint="eastAsia"/>
          <w:b/>
          <w:bCs/>
          <w:color w:val="auto"/>
          <w:highlight w:val="none"/>
        </w:rPr>
        <w:t>评审</w:t>
      </w:r>
      <w:r>
        <w:rPr>
          <w:rFonts w:hint="eastAsia"/>
          <w:b/>
          <w:bCs/>
          <w:color w:val="auto"/>
          <w:highlight w:val="none"/>
          <w:lang w:val="en-US" w:eastAsia="zh-CN"/>
        </w:rPr>
        <w:t>工作说明</w:t>
      </w:r>
    </w:p>
    <w:p w14:paraId="647AD606">
      <w:pPr>
        <w:numPr>
          <w:ilvl w:val="0"/>
          <w:numId w:val="0"/>
        </w:numPr>
        <w:ind w:firstLine="480" w:firstLineChars="200"/>
        <w:rPr>
          <w:color w:val="auto"/>
          <w:highlight w:val="none"/>
        </w:rPr>
      </w:pPr>
      <w:r>
        <w:rPr>
          <w:color w:val="auto"/>
          <w:highlight w:val="none"/>
        </w:rPr>
        <w:t xml:space="preserve">1. </w:t>
      </w:r>
      <w:r>
        <w:rPr>
          <w:rFonts w:hint="eastAsia"/>
          <w:snapToGrid w:val="0"/>
          <w:color w:val="auto"/>
          <w:highlight w:val="none"/>
          <w:lang w:val="en-US" w:eastAsia="zh-CN"/>
        </w:rPr>
        <w:t>评审</w:t>
      </w:r>
      <w:r>
        <w:rPr>
          <w:rFonts w:hint="eastAsia"/>
          <w:snapToGrid w:val="0"/>
          <w:color w:val="auto"/>
          <w:highlight w:val="none"/>
          <w:lang w:val="zh-CN"/>
        </w:rPr>
        <w:t>小组认为供应商的报价明显低于其他通过符合性审查供应商的报价，有可能影响产品质量或者不能诚信履约的，应当要求其在评审现场合理的时间内提供书面说明，必要时提交相关证明材料；</w:t>
      </w:r>
      <w:r>
        <w:rPr>
          <w:rFonts w:hint="eastAsia"/>
          <w:b/>
          <w:snapToGrid w:val="0"/>
          <w:color w:val="auto"/>
          <w:highlight w:val="none"/>
          <w:lang w:val="zh-CN"/>
        </w:rPr>
        <w:t>供应商不能证明其报价合理性的，</w:t>
      </w:r>
      <w:r>
        <w:rPr>
          <w:rFonts w:hint="eastAsia"/>
          <w:b/>
          <w:snapToGrid w:val="0"/>
          <w:color w:val="auto"/>
          <w:highlight w:val="none"/>
          <w:lang w:val="en-US" w:eastAsia="zh-CN"/>
        </w:rPr>
        <w:t>评审</w:t>
      </w:r>
      <w:r>
        <w:rPr>
          <w:rFonts w:hint="eastAsia"/>
          <w:b/>
          <w:snapToGrid w:val="0"/>
          <w:color w:val="auto"/>
          <w:highlight w:val="none"/>
          <w:lang w:val="zh-CN"/>
        </w:rPr>
        <w:t>小组应当将其作为无效响应处理。</w:t>
      </w:r>
    </w:p>
    <w:p w14:paraId="2AC5C895">
      <w:pPr>
        <w:ind w:firstLine="480"/>
        <w:rPr>
          <w:rFonts w:hint="eastAsia"/>
          <w:color w:val="auto"/>
          <w:highlight w:val="none"/>
        </w:rPr>
      </w:pPr>
      <w:r>
        <w:rPr>
          <w:color w:val="auto"/>
          <w:highlight w:val="none"/>
        </w:rPr>
        <w:t>2.</w:t>
      </w:r>
      <w:r>
        <w:rPr>
          <w:rFonts w:hint="eastAsia"/>
          <w:snapToGrid w:val="0"/>
          <w:color w:val="auto"/>
          <w:highlight w:val="none"/>
          <w:lang w:val="en-US" w:eastAsia="zh-CN"/>
        </w:rPr>
        <w:t>评审</w:t>
      </w:r>
      <w:r>
        <w:rPr>
          <w:rFonts w:hint="eastAsia"/>
          <w:color w:val="auto"/>
          <w:highlight w:val="none"/>
        </w:rPr>
        <w:t>小组决定的响应性只根据响应文件本身的真实无误的内容，而不依据外部的证据，但响应文件有不真实不正确的内容时除外。</w:t>
      </w:r>
    </w:p>
    <w:p w14:paraId="3DB03371">
      <w:pPr>
        <w:ind w:firstLine="480"/>
        <w:rPr>
          <w:rFonts w:hint="eastAsia"/>
          <w:color w:val="auto"/>
          <w:highlight w:val="none"/>
        </w:rPr>
      </w:pPr>
      <w:r>
        <w:rPr>
          <w:rFonts w:hint="eastAsia"/>
          <w:color w:val="auto"/>
          <w:highlight w:val="none"/>
        </w:rPr>
        <w:t>3.相关证明文件需附在响应文件中并加盖单位公章，否则其响应无效。</w:t>
      </w:r>
    </w:p>
    <w:p w14:paraId="159846DD">
      <w:pPr>
        <w:numPr>
          <w:numId w:val="0"/>
        </w:numPr>
        <w:ind w:firstLine="482" w:firstLineChars="200"/>
        <w:rPr>
          <w:rFonts w:hint="eastAsia" w:ascii="仿宋" w:hAnsi="仿宋" w:eastAsia="仿宋" w:cs="仿宋"/>
          <w:b/>
          <w:bCs/>
          <w:caps w:val="0"/>
          <w:smallCaps w:val="0"/>
          <w:vanish w:val="0"/>
          <w:sz w:val="24"/>
          <w:szCs w:val="28"/>
          <w:highlight w:val="none"/>
          <w:lang w:val="en-US" w:eastAsia="zh-CN" w:bidi="ar-SA"/>
        </w:rPr>
      </w:pPr>
      <w:r>
        <w:rPr>
          <w:rFonts w:hint="eastAsia" w:cs="仿宋"/>
          <w:b/>
          <w:bCs/>
          <w:caps w:val="0"/>
          <w:smallCaps w:val="0"/>
          <w:vanish w:val="0"/>
          <w:sz w:val="24"/>
          <w:szCs w:val="28"/>
          <w:highlight w:val="none"/>
          <w:lang w:val="en-US" w:eastAsia="zh-CN" w:bidi="ar-SA"/>
        </w:rPr>
        <w:t>4.</w:t>
      </w:r>
      <w:r>
        <w:rPr>
          <w:rFonts w:hint="eastAsia" w:ascii="仿宋" w:hAnsi="仿宋" w:eastAsia="仿宋" w:cs="仿宋"/>
          <w:b/>
          <w:bCs/>
          <w:caps w:val="0"/>
          <w:smallCaps w:val="0"/>
          <w:vanish w:val="0"/>
          <w:sz w:val="24"/>
          <w:szCs w:val="28"/>
          <w:highlight w:val="none"/>
          <w:lang w:val="en-US" w:eastAsia="zh-CN" w:bidi="ar-SA"/>
        </w:rPr>
        <w:t>异常低价情形</w:t>
      </w:r>
    </w:p>
    <w:p w14:paraId="64A1F58E">
      <w:pPr>
        <w:keepNext w:val="0"/>
        <w:keepLines w:val="0"/>
        <w:pageBreakBefore w:val="0"/>
        <w:widowControl w:val="0"/>
        <w:numPr>
          <w:ilvl w:val="0"/>
          <w:numId w:val="1"/>
        </w:numPr>
        <w:suppressLineNumbers w:val="0"/>
        <w:kinsoku/>
        <w:wordWrap/>
        <w:overflowPunct/>
        <w:topLinePunct w:val="0"/>
        <w:autoSpaceDE/>
        <w:autoSpaceDN/>
        <w:bidi w:val="0"/>
        <w:adjustRightInd w:val="0"/>
        <w:snapToGrid/>
        <w:spacing w:before="0" w:beforeAutospacing="0" w:after="0" w:afterAutospacing="0" w:line="300" w:lineRule="auto"/>
        <w:ind w:left="0" w:leftChars="0" w:right="0" w:firstLine="480" w:firstLineChars="200"/>
        <w:textAlignment w:val="auto"/>
        <w:rPr>
          <w:rFonts w:hint="eastAsia" w:ascii="仿宋" w:hAnsi="仿宋" w:eastAsia="仿宋" w:cs="仿宋"/>
          <w:caps w:val="0"/>
          <w:smallCaps w:val="0"/>
          <w:vanish w:val="0"/>
          <w:sz w:val="24"/>
          <w:szCs w:val="28"/>
          <w:highlight w:val="none"/>
          <w:lang w:val="en-US" w:eastAsia="zh-CN" w:bidi="ar-SA"/>
        </w:rPr>
      </w:pPr>
      <w:r>
        <w:rPr>
          <w:rFonts w:hint="eastAsia" w:ascii="仿宋" w:hAnsi="仿宋" w:eastAsia="仿宋" w:cs="仿宋"/>
          <w:caps w:val="0"/>
          <w:smallCaps w:val="0"/>
          <w:vanish w:val="0"/>
          <w:sz w:val="24"/>
          <w:szCs w:val="28"/>
          <w:highlight w:val="none"/>
          <w:lang w:val="en-US" w:eastAsia="zh-CN" w:bidi="ar-SA"/>
        </w:rPr>
        <w:t>投标报价低于全部通过符合性审查供应商投标报价平均值</w:t>
      </w:r>
      <w:r>
        <w:rPr>
          <w:rFonts w:hint="eastAsia" w:cs="仿宋"/>
          <w:caps w:val="0"/>
          <w:smallCaps w:val="0"/>
          <w:vanish w:val="0"/>
          <w:sz w:val="24"/>
          <w:szCs w:val="28"/>
          <w:highlight w:val="none"/>
          <w:lang w:val="en-US" w:eastAsia="zh-CN" w:bidi="ar-SA"/>
        </w:rPr>
        <w:t xml:space="preserve"> </w:t>
      </w:r>
      <w:r>
        <w:rPr>
          <w:rFonts w:hint="eastAsia" w:ascii="仿宋" w:hAnsi="仿宋" w:eastAsia="仿宋" w:cs="仿宋"/>
          <w:caps w:val="0"/>
          <w:smallCaps w:val="0"/>
          <w:vanish w:val="0"/>
          <w:sz w:val="24"/>
          <w:szCs w:val="28"/>
          <w:highlight w:val="none"/>
          <w:lang w:val="en-US" w:eastAsia="zh-CN" w:bidi="ar-SA"/>
        </w:rPr>
        <w:t>50</w:t>
      </w:r>
      <w:r>
        <w:rPr>
          <w:rFonts w:hint="eastAsia" w:cs="仿宋"/>
          <w:caps w:val="0"/>
          <w:smallCaps w:val="0"/>
          <w:vanish w:val="0"/>
          <w:sz w:val="24"/>
          <w:szCs w:val="28"/>
          <w:highlight w:val="none"/>
          <w:lang w:val="en-US" w:eastAsia="zh-CN" w:bidi="ar-SA"/>
        </w:rPr>
        <w:t xml:space="preserve"> </w:t>
      </w:r>
      <w:bookmarkStart w:id="1" w:name="_GoBack"/>
      <w:bookmarkEnd w:id="1"/>
      <w:r>
        <w:rPr>
          <w:rFonts w:hint="eastAsia" w:ascii="仿宋" w:hAnsi="仿宋" w:eastAsia="仿宋" w:cs="仿宋"/>
          <w:caps w:val="0"/>
          <w:smallCaps w:val="0"/>
          <w:vanish w:val="0"/>
          <w:sz w:val="24"/>
          <w:szCs w:val="28"/>
          <w:highlight w:val="none"/>
          <w:lang w:val="en-US" w:eastAsia="zh-CN" w:bidi="ar-SA"/>
        </w:rPr>
        <w:t>%的，即投标报价＜全部通过符合性审查供应商投标报价平均值×</w:t>
      </w:r>
      <w:r>
        <w:rPr>
          <w:rFonts w:hint="eastAsia" w:cs="仿宋"/>
          <w:caps w:val="0"/>
          <w:smallCaps w:val="0"/>
          <w:vanish w:val="0"/>
          <w:sz w:val="24"/>
          <w:szCs w:val="28"/>
          <w:highlight w:val="none"/>
          <w:lang w:val="en-US" w:eastAsia="zh-CN" w:bidi="ar-SA"/>
        </w:rPr>
        <w:t xml:space="preserve"> </w:t>
      </w:r>
      <w:r>
        <w:rPr>
          <w:rFonts w:hint="eastAsia" w:ascii="仿宋" w:hAnsi="仿宋" w:eastAsia="仿宋" w:cs="仿宋"/>
          <w:caps w:val="0"/>
          <w:smallCaps w:val="0"/>
          <w:vanish w:val="0"/>
          <w:sz w:val="24"/>
          <w:szCs w:val="28"/>
          <w:highlight w:val="none"/>
          <w:lang w:val="en-US" w:eastAsia="zh-CN" w:bidi="ar-SA"/>
        </w:rPr>
        <w:t>50</w:t>
      </w:r>
      <w:r>
        <w:rPr>
          <w:rFonts w:hint="eastAsia" w:cs="仿宋"/>
          <w:caps w:val="0"/>
          <w:smallCaps w:val="0"/>
          <w:vanish w:val="0"/>
          <w:sz w:val="24"/>
          <w:szCs w:val="28"/>
          <w:highlight w:val="none"/>
          <w:lang w:val="en-US" w:eastAsia="zh-CN" w:bidi="ar-SA"/>
        </w:rPr>
        <w:t xml:space="preserve"> </w:t>
      </w:r>
      <w:r>
        <w:rPr>
          <w:rFonts w:hint="eastAsia" w:ascii="仿宋" w:hAnsi="仿宋" w:eastAsia="仿宋" w:cs="仿宋"/>
          <w:caps w:val="0"/>
          <w:smallCaps w:val="0"/>
          <w:vanish w:val="0"/>
          <w:sz w:val="24"/>
          <w:szCs w:val="28"/>
          <w:highlight w:val="none"/>
          <w:lang w:val="en-US" w:eastAsia="zh-CN" w:bidi="ar-SA"/>
        </w:rPr>
        <w:t>%；</w:t>
      </w:r>
    </w:p>
    <w:p w14:paraId="5DF5585D">
      <w:pPr>
        <w:keepNext w:val="0"/>
        <w:keepLines w:val="0"/>
        <w:pageBreakBefore w:val="0"/>
        <w:widowControl w:val="0"/>
        <w:numPr>
          <w:ilvl w:val="0"/>
          <w:numId w:val="1"/>
        </w:numPr>
        <w:suppressLineNumbers w:val="0"/>
        <w:kinsoku/>
        <w:wordWrap/>
        <w:overflowPunct/>
        <w:topLinePunct w:val="0"/>
        <w:autoSpaceDE/>
        <w:autoSpaceDN/>
        <w:bidi w:val="0"/>
        <w:adjustRightInd w:val="0"/>
        <w:snapToGrid/>
        <w:spacing w:before="0" w:beforeAutospacing="0" w:after="0" w:afterAutospacing="0" w:line="300" w:lineRule="auto"/>
        <w:ind w:left="0" w:leftChars="0" w:right="0" w:firstLine="480" w:firstLineChars="200"/>
        <w:textAlignment w:val="auto"/>
        <w:rPr>
          <w:rFonts w:hint="eastAsia" w:ascii="仿宋" w:hAnsi="仿宋" w:eastAsia="仿宋" w:cs="仿宋"/>
          <w:caps w:val="0"/>
          <w:smallCaps w:val="0"/>
          <w:vanish w:val="0"/>
          <w:sz w:val="24"/>
          <w:szCs w:val="28"/>
          <w:highlight w:val="none"/>
          <w:lang w:val="en-US" w:eastAsia="zh-CN" w:bidi="ar-SA"/>
        </w:rPr>
      </w:pPr>
      <w:r>
        <w:rPr>
          <w:rFonts w:hint="eastAsia" w:ascii="仿宋" w:hAnsi="仿宋" w:eastAsia="仿宋" w:cs="仿宋"/>
          <w:caps w:val="0"/>
          <w:smallCaps w:val="0"/>
          <w:vanish w:val="0"/>
          <w:sz w:val="24"/>
          <w:szCs w:val="28"/>
          <w:highlight w:val="none"/>
          <w:lang w:val="en-US" w:eastAsia="zh-CN" w:bidi="ar-SA"/>
        </w:rPr>
        <w:t>投标报价低于通过符合性审查的次低报价供应商投标报价 50 %的，即投标报价＜通过符合性审查的次低报价供应商投标报价× 50 %；</w:t>
      </w:r>
    </w:p>
    <w:p w14:paraId="20ABD38A">
      <w:pPr>
        <w:keepNext w:val="0"/>
        <w:keepLines w:val="0"/>
        <w:pageBreakBefore w:val="0"/>
        <w:widowControl w:val="0"/>
        <w:numPr>
          <w:ilvl w:val="0"/>
          <w:numId w:val="1"/>
        </w:numPr>
        <w:suppressLineNumbers w:val="0"/>
        <w:kinsoku/>
        <w:wordWrap/>
        <w:overflowPunct/>
        <w:topLinePunct w:val="0"/>
        <w:autoSpaceDE/>
        <w:autoSpaceDN/>
        <w:bidi w:val="0"/>
        <w:adjustRightInd w:val="0"/>
        <w:snapToGrid/>
        <w:spacing w:before="0" w:beforeAutospacing="0" w:after="0" w:afterAutospacing="0" w:line="300" w:lineRule="auto"/>
        <w:ind w:left="0" w:leftChars="0" w:right="0" w:firstLine="480" w:firstLineChars="200"/>
        <w:textAlignment w:val="auto"/>
        <w:rPr>
          <w:rFonts w:hint="eastAsia" w:ascii="仿宋" w:hAnsi="仿宋" w:eastAsia="仿宋" w:cs="仿宋"/>
          <w:caps w:val="0"/>
          <w:smallCaps w:val="0"/>
          <w:vanish w:val="0"/>
          <w:sz w:val="24"/>
          <w:szCs w:val="28"/>
          <w:highlight w:val="none"/>
          <w:lang w:val="en-US" w:eastAsia="zh-CN" w:bidi="ar-SA"/>
        </w:rPr>
      </w:pPr>
      <w:r>
        <w:rPr>
          <w:rFonts w:hint="eastAsia" w:ascii="仿宋" w:hAnsi="仿宋" w:eastAsia="仿宋" w:cs="仿宋"/>
          <w:caps w:val="0"/>
          <w:smallCaps w:val="0"/>
          <w:vanish w:val="0"/>
          <w:sz w:val="24"/>
          <w:szCs w:val="28"/>
          <w:highlight w:val="none"/>
          <w:lang w:val="en-US" w:eastAsia="zh-CN" w:bidi="ar-SA"/>
        </w:rPr>
        <w:t>投标报价低于采购项目最高限价 45 %的，即投标报价＜采购项目最高限价× 45 %；</w:t>
      </w:r>
    </w:p>
    <w:p w14:paraId="17F8CA7A">
      <w:pPr>
        <w:keepNext w:val="0"/>
        <w:keepLines w:val="0"/>
        <w:pageBreakBefore w:val="0"/>
        <w:widowControl w:val="0"/>
        <w:numPr>
          <w:ilvl w:val="0"/>
          <w:numId w:val="1"/>
        </w:numPr>
        <w:suppressLineNumbers w:val="0"/>
        <w:kinsoku/>
        <w:wordWrap/>
        <w:overflowPunct/>
        <w:topLinePunct w:val="0"/>
        <w:autoSpaceDE/>
        <w:autoSpaceDN/>
        <w:bidi w:val="0"/>
        <w:adjustRightInd w:val="0"/>
        <w:snapToGrid/>
        <w:spacing w:before="0" w:beforeAutospacing="0" w:after="0" w:afterAutospacing="0" w:line="300" w:lineRule="auto"/>
        <w:ind w:left="0" w:leftChars="0" w:right="0" w:firstLine="480" w:firstLineChars="200"/>
        <w:textAlignment w:val="auto"/>
        <w:rPr>
          <w:rFonts w:hint="eastAsia" w:ascii="仿宋" w:hAnsi="仿宋" w:eastAsia="仿宋" w:cs="仿宋"/>
          <w:caps w:val="0"/>
          <w:smallCaps w:val="0"/>
          <w:vanish w:val="0"/>
          <w:sz w:val="24"/>
          <w:szCs w:val="28"/>
          <w:highlight w:val="none"/>
          <w:lang w:val="en-US" w:eastAsia="zh-CN" w:bidi="ar-SA"/>
        </w:rPr>
      </w:pPr>
      <w:r>
        <w:rPr>
          <w:rFonts w:hint="eastAsia" w:ascii="仿宋" w:hAnsi="仿宋" w:eastAsia="仿宋" w:cs="仿宋"/>
          <w:caps w:val="0"/>
          <w:smallCaps w:val="0"/>
          <w:vanish w:val="0"/>
          <w:sz w:val="24"/>
          <w:szCs w:val="28"/>
          <w:highlight w:val="none"/>
          <w:lang w:val="en-US" w:eastAsia="zh-CN" w:bidi="ar-SA"/>
        </w:rPr>
        <w:t>评标委员会基于专业判断，认为供应商报价过低，有可能影响产品质量或者不能诚信履约的其他情形。</w:t>
      </w:r>
    </w:p>
    <w:p w14:paraId="001DC3D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92C85B"/>
    <w:multiLevelType w:val="singleLevel"/>
    <w:tmpl w:val="AE92C85B"/>
    <w:lvl w:ilvl="0" w:tentative="0">
      <w:start w:val="1"/>
      <w:numFmt w:val="decimalEnclosedCircleChinese"/>
      <w:suff w:val="nothing"/>
      <w:lvlText w:val="%1　"/>
      <w:lvlJc w:val="left"/>
      <w:pPr>
        <w:ind w:left="0" w:firstLine="4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691C4B"/>
    <w:rsid w:val="0FDB208A"/>
    <w:rsid w:val="3C691C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pPr>
    <w:rPr>
      <w:rFonts w:ascii="仿宋" w:hAnsi="仿宋" w:eastAsia="仿宋" w:cs="仿宋"/>
      <w:sz w:val="24"/>
      <w:szCs w:val="24"/>
      <w:lang w:val="en-US" w:eastAsia="zh-CN" w:bidi="ar-SA"/>
    </w:rPr>
  </w:style>
  <w:style w:type="paragraph" w:styleId="2">
    <w:name w:val="heading 1"/>
    <w:basedOn w:val="1"/>
    <w:next w:val="1"/>
    <w:qFormat/>
    <w:uiPriority w:val="0"/>
    <w:pPr>
      <w:widowControl w:val="0"/>
      <w:autoSpaceDE/>
      <w:autoSpaceDN/>
      <w:spacing w:before="0" w:after="0" w:line="360" w:lineRule="auto"/>
      <w:ind w:left="0" w:firstLine="0"/>
      <w:jc w:val="center"/>
      <w:outlineLvl w:val="0"/>
    </w:pPr>
    <w:rPr>
      <w:rFonts w:ascii="仿宋" w:hAnsi="仿宋" w:eastAsia="仿宋" w:cs="仿宋"/>
      <w:b/>
      <w:szCs w:val="24"/>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表格图文"/>
    <w:basedOn w:val="1"/>
    <w:qFormat/>
    <w:uiPriority w:val="0"/>
    <w:pPr>
      <w:spacing w:line="240" w:lineRule="auto"/>
      <w:ind w:firstLine="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1411</Words>
  <Characters>1470</Characters>
  <Lines>0</Lines>
  <Paragraphs>0</Paragraphs>
  <TotalTime>1</TotalTime>
  <ScaleCrop>false</ScaleCrop>
  <LinksUpToDate>false</LinksUpToDate>
  <CharactersWithSpaces>1473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2026-08-03T07:51:00Z</dcterms:created>
  <dc:creator>吗喽的命也是命</dc:creator>
  <cp:lastModifiedBy>吗喽的命也是命</cp:lastModifiedBy>
  <dcterms:modified xsi:type="dcterms:W3CDTF">2026-08-03T08:30:22Z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DD98B372F91E4230B301731F9FF7B626_11</vt:lpwstr>
  </property>
  <property fmtid="{D5CDD505-2E9C-101B-9397-08002B2CF9AE}" pid="4" name="KSOTemplateDocerSaveRecord">
    <vt:lpwstr>eyJoZGlkIjoiZDE5NDJlNGU5MjU2ZWViOWY3YmU5YWU2YTllY2RmNDAiLCJ1c2VySWQiOiI0MDU3NTE4MjgifQ==</vt:lpwstr>
  </property>
</Properties>
</file>